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600848</w:t>
      </w:r>
      <w:bookmarkStart w:id="8" w:name="_GoBack"/>
      <w:bookmarkEnd w:id="8"/>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lang w:val="en-US"/>
        </w:rPr>
      </w:pPr>
      <w:r>
        <w:rPr>
          <w:b/>
          <w:sz w:val="24"/>
          <w:szCs w:val="24"/>
          <w:highlight w:val="none"/>
          <w:lang w:eastAsia="zh-CN"/>
        </w:rPr>
        <w:t>Gothenburg, Sweden, Feb. 09-13,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8.4</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use cases for AI/ML use cases for RRM</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AI/ML use cases for RRM</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6FF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39AD72FE">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green"/>
                <w:lang w:val="en-US" w:eastAsia="zh-CN"/>
              </w:rPr>
              <w:t>Agreement</w:t>
            </w:r>
            <w:r>
              <w:rPr>
                <w:rFonts w:hint="default" w:ascii="Times New Roman" w:hAnsi="Times New Roman" w:cs="Times New Roman"/>
                <w:sz w:val="20"/>
                <w:szCs w:val="20"/>
                <w:lang w:val="en-US" w:eastAsia="zh-CN"/>
              </w:rPr>
              <w:t>:</w:t>
            </w:r>
          </w:p>
          <w:p w14:paraId="2B5F0845">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Postpone L1-beam level prediction for Tx beam</w:t>
            </w:r>
          </w:p>
          <w:p w14:paraId="0E281D29">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Further discussion on the following identified the sub use cases under AI for RRM use case in RAN4#118 as the first priority</w:t>
            </w:r>
          </w:p>
          <w:p w14:paraId="33F36904">
            <w:pPr>
              <w:ind w:left="240" w:leftChars="10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For L3-beam level prediction for Tx beam</w:t>
            </w:r>
          </w:p>
          <w:p w14:paraId="1C107DFF">
            <w:pPr>
              <w:ind w:left="720" w:leftChars="30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FR1/FR2-1 spatial domain (intra-cell)</w:t>
            </w:r>
          </w:p>
          <w:p w14:paraId="3FBE5450">
            <w:pPr>
              <w:ind w:left="720" w:leftChars="30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ii.</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FR1/FR2-1 spatial domain (inter-cell, non-collocated)</w:t>
            </w:r>
          </w:p>
          <w:p w14:paraId="03B54F24">
            <w:pPr>
              <w:ind w:left="720" w:leftChars="30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iii.</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FR1/FR2-1 frequency domain (inter-cell, non-collocated)</w:t>
            </w:r>
          </w:p>
          <w:p w14:paraId="5DA9D5E4">
            <w:pPr>
              <w:ind w:left="240" w:leftChars="10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For L3-cell level prediction </w:t>
            </w:r>
          </w:p>
          <w:p w14:paraId="577F8669">
            <w:pPr>
              <w:ind w:left="720" w:leftChars="30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FR1/FR2-1 freq. domain (inter-cell, non-collocated)</w:t>
            </w:r>
          </w:p>
          <w:p w14:paraId="06B2615C">
            <w:pPr>
              <w:ind w:left="240" w:leftChars="10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Dynamic Adaptation of Measurement Procedure (single domain prediction based, no RSRP prediction is involved)</w:t>
            </w:r>
          </w:p>
          <w:p w14:paraId="479565D0">
            <w:pPr>
              <w:ind w:left="240" w:leftChars="10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val="en-US" w:eastAsia="zh-CN"/>
              </w:rPr>
              <w:t>d.</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Spatial domain RX beam sweeping reduction (L1/L3)</w:t>
            </w:r>
          </w:p>
        </w:tc>
      </w:tr>
    </w:tbl>
    <w:p w14:paraId="439FD9F6">
      <w:pPr>
        <w:spacing w:after="180" w:line="240" w:lineRule="exact"/>
        <w:rPr>
          <w:rFonts w:hint="eastAsia" w:ascii="Times New Roman" w:hAnsi="Times New Roman" w:eastAsia="等线"/>
          <w:bCs/>
          <w:iCs/>
          <w:sz w:val="20"/>
          <w:szCs w:val="20"/>
          <w:lang w:val="en-US" w:eastAsia="zh-CN"/>
        </w:rPr>
      </w:pPr>
    </w:p>
    <w:p w14:paraId="3EE60A2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We support to study AI/ML based </w:t>
      </w:r>
      <w:r>
        <w:rPr>
          <w:rFonts w:hint="eastAsia" w:ascii="Times New Roman" w:hAnsi="Times New Roman" w:eastAsia="等线"/>
          <w:b w:val="0"/>
          <w:bCs/>
          <w:iCs/>
          <w:sz w:val="20"/>
          <w:szCs w:val="20"/>
          <w:lang w:val="en-US" w:eastAsia="zh-CN"/>
        </w:rPr>
        <w:t xml:space="preserve">spatial domain </w:t>
      </w:r>
      <w:r>
        <w:rPr>
          <w:rFonts w:hint="eastAsia" w:ascii="Times New Roman" w:hAnsi="Times New Roman" w:eastAsia="等线"/>
          <w:bCs/>
          <w:iCs/>
          <w:sz w:val="20"/>
          <w:szCs w:val="20"/>
          <w:lang w:val="en-US" w:eastAsia="zh-CN"/>
        </w:rPr>
        <w:t xml:space="preserve">UE RX beam </w:t>
      </w:r>
      <w:r>
        <w:rPr>
          <w:rFonts w:hint="eastAsia" w:ascii="Times New Roman" w:hAnsi="Times New Roman" w:eastAsia="等线"/>
          <w:b w:val="0"/>
          <w:bCs/>
          <w:iCs/>
          <w:sz w:val="20"/>
          <w:szCs w:val="20"/>
          <w:lang w:val="en-US" w:eastAsia="zh-CN"/>
        </w:rPr>
        <w:t>sweeping reduction as</w:t>
      </w:r>
      <w:r>
        <w:rPr>
          <w:rFonts w:hint="eastAsia" w:ascii="Times New Roman" w:hAnsi="Times New Roman" w:eastAsia="等线"/>
          <w:bCs/>
          <w:iCs/>
          <w:sz w:val="20"/>
          <w:szCs w:val="20"/>
          <w:lang w:val="en-US" w:eastAsia="zh-CN"/>
        </w:rPr>
        <w:t xml:space="preserve"> RAN4 driven use case for AI/ML in 6GR. </w:t>
      </w:r>
    </w:p>
    <w:p w14:paraId="14AF844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AI/ML based </w:t>
      </w:r>
      <w:r>
        <w:rPr>
          <w:rFonts w:hint="eastAsia" w:ascii="Times New Roman" w:hAnsi="Times New Roman" w:eastAsia="等线"/>
          <w:b w:val="0"/>
          <w:bCs/>
          <w:iCs/>
          <w:sz w:val="20"/>
          <w:szCs w:val="20"/>
          <w:lang w:val="en-US" w:eastAsia="zh-CN"/>
        </w:rPr>
        <w:t xml:space="preserve">spatial domain </w:t>
      </w:r>
      <w:r>
        <w:rPr>
          <w:rFonts w:hint="eastAsia" w:ascii="Times New Roman" w:hAnsi="Times New Roman" w:eastAsia="等线"/>
          <w:bCs/>
          <w:iCs/>
          <w:sz w:val="20"/>
          <w:szCs w:val="20"/>
          <w:lang w:val="en-US" w:eastAsia="zh-CN"/>
        </w:rPr>
        <w:t xml:space="preserve">UE RX beam </w:t>
      </w:r>
      <w:r>
        <w:rPr>
          <w:rFonts w:hint="eastAsia" w:ascii="Times New Roman" w:hAnsi="Times New Roman" w:eastAsia="等线"/>
          <w:b w:val="0"/>
          <w:bCs/>
          <w:iCs/>
          <w:sz w:val="20"/>
          <w:szCs w:val="20"/>
          <w:lang w:val="en-US" w:eastAsia="zh-CN"/>
        </w:rPr>
        <w:t xml:space="preserve">sweeping reduction is not studied in 5G-A. </w:t>
      </w:r>
      <w:r>
        <w:rPr>
          <w:rFonts w:hint="eastAsia" w:ascii="Times New Roman" w:hAnsi="Times New Roman" w:eastAsia="等线"/>
          <w:bCs/>
          <w:iCs/>
          <w:sz w:val="20"/>
          <w:szCs w:val="20"/>
          <w:lang w:val="en-US" w:eastAsia="zh-CN"/>
        </w:rPr>
        <w:t>There are two WIs on AI/ML in 5G-A, one is AI/ML for NR air interface, the other one is AI/ML for mobility.</w:t>
      </w:r>
    </w:p>
    <w:p w14:paraId="420F0D7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AI/ML for NR air interface includes beam management, positioning, CSI prediction, CSI compression. For beam management, BM-Case1 and BM-Case2 are considered. BM-Case1 is spatial-domain DL Tx beam prediction for Set A of beams based on measurement results of Set B of beams. BM-Case2 is temporal DL Tx beam prediction for Set A of beams based on the historic measurement results of Set B of beams. For positioning accuracy enhancements, both direct AI/ML positioning and AI/ML assisted positioning are considered. Direct AI/ML positioning include case 1: UE-based positioning with UE-side model and case 3b: NG-RAN node assisted positioning with LMF-side model. AI/ML assisted positioning include case 3a: NG-RAN node assisted positioning with gNB-side model. CSI prediction is time domain CSI prediction using UE-side model. Rel-18 study phase [3] mainly focus on evaluating performance benefits of AI/ML based algorithms for above use cases, accessing potential specification impact including PHY layer aspects, protocol aspects, and interoperability and testability aspects. The main work of Rel-19 WI [5] is specification support for beam management, positioning, CSI prediction, including signaling and protocol aspects of Life Cycle Management (LCM), enabling method(s) to ensure consistency between training and inference, RAN4 core requirements definition. The study on testability and interoperability for CSI compression is continued in Rel-19 [6]. Rel-20 WI [7] targets to provide specification support for CSI compression, including necessary signaling/mechanism(s) specification, inter-vendor training collaboration, core requirements definition, etc.    </w:t>
      </w:r>
    </w:p>
    <w:p w14:paraId="51E0C61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Besides, use case about CSI compression with two sided model is studied, mainly about testability and interoperability in Rel-19. According to Rel-20 WID on Artificial Intelligence (AI)/Machine Learning (ML) for NR air interface enhancements, the normative support for the CSI feedback enhancement (two-sided model) use case as well as standards-based UE data collection are considered.</w:t>
      </w:r>
    </w:p>
    <w:p w14:paraId="3A8B706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discussed above, AI/ML based beam management includes BM-Case1 and BM-Case2. BM-Case1 is spatial-domain DL Tx beam prediction for Set A of beams based on measurement results of Set B of beams. BM-Case2 is temporal DL Tx beam prediction for Set A of beams based on the historic measurement results of Set B of beams. It can be seen that, for both BM-Case1 and BM-Case2, the target is DL Tx beam prediction.</w:t>
      </w:r>
    </w:p>
    <w:p w14:paraId="50DE181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output of AI/ML model for beam prediction is L1-RSRP and/or beam ID. In Rel-19, there is discussion on whether RX beam knowledge, i.e. whether RX beam corresponding to the predicted TX beam, is known. The agreements are as following:</w:t>
      </w:r>
    </w:p>
    <w:p w14:paraId="1255FBB6">
      <w:pPr>
        <w:numPr>
          <w:ilvl w:val="0"/>
          <w:numId w:val="7"/>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If the predicted Tx beam in Set A is QCL Type-D to a known measured Tx beam, where TX beam can be both inside or outside set B, the corresponding Rx beam is known. </w:t>
      </w:r>
    </w:p>
    <w:p w14:paraId="777A0671">
      <w:pPr>
        <w:numPr>
          <w:ilvl w:val="0"/>
          <w:numId w:val="7"/>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If the predicted Tx beam in Set A is not QCL Type-D to a known Tx beam, known TCI state conditions shall be based on UE capability.</w:t>
      </w:r>
    </w:p>
    <w:p w14:paraId="1215443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Since this is for L1 level beam prediction, the main spec impact is TCI state known condition. The TCI state known condition need to be updated to capture the AI/ML case.</w:t>
      </w:r>
    </w:p>
    <w:p w14:paraId="1D171021">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AI/ML for mobility, Rel-19 study [9] focus on RRM measurement prediction and measurement event prediction. Even though there are 6 scenarios for RRM measurement prediction, scenario 2, 3, 4 are prioritized. </w:t>
      </w:r>
    </w:p>
    <w:p w14:paraId="24292324">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Table 1 </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eastAsia="zh-CN"/>
        </w:rPr>
        <w:t>valuation scenarios</w:t>
      </w:r>
      <w:r>
        <w:rPr>
          <w:rFonts w:hint="default" w:ascii="Times New Roman" w:hAnsi="Times New Roman" w:cs="Times New Roman"/>
          <w:sz w:val="20"/>
          <w:szCs w:val="20"/>
          <w:lang w:val="en-US" w:eastAsia="zh-CN"/>
        </w:rPr>
        <w:t xml:space="preserve"> for </w:t>
      </w:r>
      <w:r>
        <w:rPr>
          <w:rFonts w:hint="default" w:ascii="Times New Roman" w:hAnsi="Times New Roman" w:eastAsia="等线" w:cs="Times New Roman"/>
          <w:bCs/>
          <w:iCs/>
          <w:sz w:val="20"/>
          <w:szCs w:val="20"/>
          <w:lang w:val="en-US" w:eastAsia="zh-CN"/>
        </w:rPr>
        <w:t>RRM measurement prediction</w:t>
      </w:r>
      <w:r>
        <w:rPr>
          <w:rFonts w:hint="default" w:ascii="Times New Roman" w:hAnsi="Times New Roman" w:cs="Times New Roman"/>
          <w:sz w:val="20"/>
          <w:szCs w:val="20"/>
          <w:lang w:val="en-US" w:eastAsia="zh-CN"/>
        </w:rPr>
        <w:t xml:space="preserve"> </w:t>
      </w:r>
    </w:p>
    <w:tbl>
      <w:tblPr>
        <w:tblStyle w:val="16"/>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1283"/>
        <w:gridCol w:w="3801"/>
        <w:gridCol w:w="1268"/>
        <w:gridCol w:w="1294"/>
      </w:tblGrid>
      <w:tr w14:paraId="6716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28613DD4">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scenario number</w:t>
            </w:r>
          </w:p>
        </w:tc>
        <w:tc>
          <w:tcPr>
            <w:tcW w:w="1283" w:type="dxa"/>
            <w:noWrap w:val="0"/>
            <w:vAlign w:val="top"/>
          </w:tcPr>
          <w:p w14:paraId="18594BB4">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 xml:space="preserve">Priority </w:t>
            </w:r>
          </w:p>
        </w:tc>
        <w:tc>
          <w:tcPr>
            <w:tcW w:w="3801" w:type="dxa"/>
            <w:noWrap w:val="0"/>
            <w:vAlign w:val="top"/>
          </w:tcPr>
          <w:p w14:paraId="38FC325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Evaluation scenario</w:t>
            </w:r>
          </w:p>
        </w:tc>
        <w:tc>
          <w:tcPr>
            <w:tcW w:w="1268" w:type="dxa"/>
            <w:noWrap w:val="0"/>
            <w:vAlign w:val="top"/>
          </w:tcPr>
          <w:p w14:paraId="22FB9EBE">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Target study goal</w:t>
            </w:r>
          </w:p>
        </w:tc>
        <w:tc>
          <w:tcPr>
            <w:tcW w:w="1294" w:type="dxa"/>
            <w:noWrap w:val="0"/>
            <w:vAlign w:val="top"/>
          </w:tcPr>
          <w:p w14:paraId="0245AED4">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Methodology</w:t>
            </w:r>
          </w:p>
        </w:tc>
      </w:tr>
      <w:tr w14:paraId="10480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47815082">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p>
        </w:tc>
        <w:tc>
          <w:tcPr>
            <w:tcW w:w="1283" w:type="dxa"/>
            <w:noWrap w:val="0"/>
            <w:vAlign w:val="top"/>
          </w:tcPr>
          <w:p w14:paraId="0F8E8249">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3801" w:type="dxa"/>
            <w:noWrap w:val="0"/>
            <w:vAlign w:val="top"/>
          </w:tcPr>
          <w:p w14:paraId="5E7D286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FR1 to FR1 intra-frequency temporal domain case A</w:t>
            </w:r>
          </w:p>
        </w:tc>
        <w:tc>
          <w:tcPr>
            <w:tcW w:w="1268" w:type="dxa"/>
            <w:noWrap w:val="0"/>
            <w:vAlign w:val="top"/>
          </w:tcPr>
          <w:p w14:paraId="643E3F22">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vertAlign w:val="superscript"/>
              </w:rPr>
              <w:t>nd</w:t>
            </w:r>
            <w:r>
              <w:rPr>
                <w:rFonts w:hint="default" w:ascii="Times New Roman" w:hAnsi="Times New Roman" w:cs="Times New Roman"/>
                <w:sz w:val="20"/>
                <w:szCs w:val="20"/>
              </w:rPr>
              <w:t xml:space="preserve"> goal</w:t>
            </w:r>
          </w:p>
        </w:tc>
        <w:tc>
          <w:tcPr>
            <w:tcW w:w="1294" w:type="dxa"/>
            <w:noWrap w:val="0"/>
            <w:vAlign w:val="top"/>
          </w:tcPr>
          <w:p w14:paraId="03217F9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TBD</w:t>
            </w:r>
          </w:p>
        </w:tc>
      </w:tr>
      <w:tr w14:paraId="50AF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3E5ADD26">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2</w:t>
            </w:r>
          </w:p>
        </w:tc>
        <w:tc>
          <w:tcPr>
            <w:tcW w:w="1283" w:type="dxa"/>
            <w:noWrap w:val="0"/>
            <w:vAlign w:val="top"/>
          </w:tcPr>
          <w:p w14:paraId="0B20591E">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801" w:type="dxa"/>
            <w:noWrap w:val="0"/>
            <w:vAlign w:val="top"/>
          </w:tcPr>
          <w:p w14:paraId="5F22D315">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FR1 to FR1 intra-frequency temporal domain case B</w:t>
            </w:r>
          </w:p>
        </w:tc>
        <w:tc>
          <w:tcPr>
            <w:tcW w:w="1268" w:type="dxa"/>
            <w:noWrap w:val="0"/>
            <w:vAlign w:val="top"/>
          </w:tcPr>
          <w:p w14:paraId="3BB2198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415D76DA">
            <w:pPr>
              <w:spacing w:before="120" w:beforeLines="50"/>
              <w:rPr>
                <w:rFonts w:hint="default" w:ascii="Times New Roman" w:hAnsi="Times New Roman" w:cs="Times New Roman"/>
                <w:sz w:val="20"/>
                <w:szCs w:val="20"/>
                <w:vertAlign w:val="superscript"/>
              </w:rPr>
            </w:pPr>
            <w:r>
              <w:rPr>
                <w:rFonts w:hint="default" w:ascii="Times New Roman" w:hAnsi="Times New Roman" w:cs="Times New Roman"/>
                <w:sz w:val="20"/>
                <w:szCs w:val="20"/>
              </w:rPr>
              <w:t>Intra-cell</w:t>
            </w:r>
          </w:p>
        </w:tc>
      </w:tr>
      <w:tr w14:paraId="72440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565DE716">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3</w:t>
            </w:r>
          </w:p>
        </w:tc>
        <w:tc>
          <w:tcPr>
            <w:tcW w:w="1283" w:type="dxa"/>
            <w:noWrap w:val="0"/>
            <w:vAlign w:val="top"/>
          </w:tcPr>
          <w:p w14:paraId="7A06A6C7">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801" w:type="dxa"/>
            <w:noWrap w:val="0"/>
            <w:vAlign w:val="top"/>
          </w:tcPr>
          <w:p w14:paraId="6C27E176">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FR1 to FR1 inter-frequency (frequency domain)</w:t>
            </w:r>
          </w:p>
        </w:tc>
        <w:tc>
          <w:tcPr>
            <w:tcW w:w="1268" w:type="dxa"/>
            <w:noWrap w:val="0"/>
            <w:vAlign w:val="top"/>
          </w:tcPr>
          <w:p w14:paraId="3A880428">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74CA4902">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 xml:space="preserve">Inter-cell </w:t>
            </w:r>
          </w:p>
        </w:tc>
      </w:tr>
      <w:tr w14:paraId="349C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5B2B160E">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4</w:t>
            </w:r>
          </w:p>
        </w:tc>
        <w:tc>
          <w:tcPr>
            <w:tcW w:w="1283" w:type="dxa"/>
            <w:noWrap w:val="0"/>
            <w:vAlign w:val="top"/>
          </w:tcPr>
          <w:p w14:paraId="1AF2197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801" w:type="dxa"/>
            <w:noWrap w:val="0"/>
            <w:vAlign w:val="top"/>
          </w:tcPr>
          <w:p w14:paraId="04413D4E">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FR2 to FR2 intra-frequency temporal domain case A</w:t>
            </w:r>
          </w:p>
        </w:tc>
        <w:tc>
          <w:tcPr>
            <w:tcW w:w="1268" w:type="dxa"/>
            <w:noWrap w:val="0"/>
            <w:vAlign w:val="top"/>
          </w:tcPr>
          <w:p w14:paraId="1593CDC4">
            <w:pPr>
              <w:spacing w:before="120" w:beforeLines="50"/>
              <w:rPr>
                <w:rFonts w:hint="default" w:ascii="Times New Roman" w:hAnsi="Times New Roman" w:cs="Times New Roman"/>
                <w:sz w:val="20"/>
                <w:szCs w:val="20"/>
                <w:highlight w:val="yellow"/>
              </w:rPr>
            </w:pPr>
            <w:r>
              <w:rPr>
                <w:rFonts w:hint="default" w:ascii="Times New Roman" w:hAnsi="Times New Roman" w:cs="Times New Roman"/>
                <w:sz w:val="20"/>
                <w:szCs w:val="20"/>
              </w:rPr>
              <w:t>2</w:t>
            </w:r>
            <w:r>
              <w:rPr>
                <w:rFonts w:hint="default" w:ascii="Times New Roman" w:hAnsi="Times New Roman" w:cs="Times New Roman"/>
                <w:sz w:val="20"/>
                <w:szCs w:val="20"/>
                <w:vertAlign w:val="superscript"/>
              </w:rPr>
              <w:t>nd</w:t>
            </w:r>
            <w:r>
              <w:rPr>
                <w:rFonts w:hint="default" w:ascii="Times New Roman" w:hAnsi="Times New Roman" w:cs="Times New Roman"/>
                <w:sz w:val="20"/>
                <w:szCs w:val="20"/>
              </w:rPr>
              <w:t xml:space="preserve"> goal</w:t>
            </w:r>
          </w:p>
        </w:tc>
        <w:tc>
          <w:tcPr>
            <w:tcW w:w="1294" w:type="dxa"/>
            <w:noWrap w:val="0"/>
            <w:vAlign w:val="top"/>
          </w:tcPr>
          <w:p w14:paraId="5B89231F">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Intra-cell</w:t>
            </w:r>
          </w:p>
        </w:tc>
      </w:tr>
      <w:tr w14:paraId="303A9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4E15F6E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5</w:t>
            </w:r>
          </w:p>
        </w:tc>
        <w:tc>
          <w:tcPr>
            <w:tcW w:w="1283" w:type="dxa"/>
            <w:noWrap w:val="0"/>
            <w:vAlign w:val="top"/>
          </w:tcPr>
          <w:p w14:paraId="0C6BB5F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3801" w:type="dxa"/>
            <w:noWrap w:val="0"/>
            <w:vAlign w:val="top"/>
          </w:tcPr>
          <w:p w14:paraId="255C98A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FR2 to FR2 intra-frequency temporal domain case B</w:t>
            </w:r>
          </w:p>
        </w:tc>
        <w:tc>
          <w:tcPr>
            <w:tcW w:w="1268" w:type="dxa"/>
            <w:noWrap w:val="0"/>
            <w:vAlign w:val="top"/>
          </w:tcPr>
          <w:p w14:paraId="1FFB57D7">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6E5749AC">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TBD</w:t>
            </w:r>
          </w:p>
        </w:tc>
      </w:tr>
      <w:tr w14:paraId="0484F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674CA668">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6</w:t>
            </w:r>
          </w:p>
        </w:tc>
        <w:tc>
          <w:tcPr>
            <w:tcW w:w="1283" w:type="dxa"/>
            <w:noWrap w:val="0"/>
            <w:vAlign w:val="top"/>
          </w:tcPr>
          <w:p w14:paraId="3EFE07A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Middle</w:t>
            </w:r>
          </w:p>
        </w:tc>
        <w:tc>
          <w:tcPr>
            <w:tcW w:w="3801" w:type="dxa"/>
            <w:noWrap w:val="0"/>
            <w:vAlign w:val="top"/>
          </w:tcPr>
          <w:p w14:paraId="5186A3BB">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FR2 to FR2 intra-frequency spatial domain</w:t>
            </w:r>
          </w:p>
        </w:tc>
        <w:tc>
          <w:tcPr>
            <w:tcW w:w="1268" w:type="dxa"/>
            <w:noWrap w:val="0"/>
            <w:vAlign w:val="top"/>
          </w:tcPr>
          <w:p w14:paraId="036C2275">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301BF4CB">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Intra-cell</w:t>
            </w:r>
          </w:p>
        </w:tc>
      </w:tr>
    </w:tbl>
    <w:p w14:paraId="3ED03A14">
      <w:pPr>
        <w:spacing w:after="180" w:line="240" w:lineRule="exact"/>
        <w:rPr>
          <w:rFonts w:hint="eastAsia" w:ascii="Times New Roman" w:hAnsi="Times New Roman" w:eastAsia="等线"/>
          <w:bCs/>
          <w:iCs/>
          <w:sz w:val="20"/>
          <w:szCs w:val="20"/>
          <w:lang w:val="en-US" w:eastAsia="zh-CN"/>
        </w:rPr>
      </w:pPr>
    </w:p>
    <w:p w14:paraId="2B15066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Scenario 4 is FR2 intra-frequency temporal domain case A (i.e., prediction of measurements in a prediction window by using historical actual measurements in an observation window). Scenario 2 is FR1 intra-frequency temporal domain case B (similar to case A, but predicted measurement result(s) in previous prediction window are skipped). And scenario 3 is FR1 inter-frequency prediction. The study on temporal domain case A is to verify performance improvement, i.e. how much handover performance can be improved based on predicted measurement results/event in future. The motivation of study on temporal domain case B is about measurement reduction, i.e. whether the degradation of handover performance is acceptable while partial measurement is skipped. The target of Rel-20 WI is specification support of AI/ML assisted mobility in RRC_CONNECTED mode, both RRM measurement prediction and measurement event prediction are considered. </w:t>
      </w:r>
    </w:p>
    <w:p w14:paraId="4412CEA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shown in Table 1, spatial domain prediction (scenario #6) is in middle priority for Rel-19 study. And, from RAN4 side, there is little study on this scenario. According to Rel-20 WID [8], for UE sided model, spatial domain prediction and L3 beam level prediction are not supported. Rel-20 WI focus on temporal domain prediction case A and case B, and frequency domain prediction for co-located cases. And L3 Cell level predication is supported.</w:t>
      </w:r>
    </w:p>
    <w:p w14:paraId="7212601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Base on above discussion, it can be seen that AI/ML based </w:t>
      </w:r>
      <w:r>
        <w:rPr>
          <w:rFonts w:hint="eastAsia" w:ascii="Times New Roman" w:hAnsi="Times New Roman" w:eastAsia="等线"/>
          <w:b w:val="0"/>
          <w:bCs/>
          <w:iCs/>
          <w:sz w:val="20"/>
          <w:szCs w:val="20"/>
          <w:lang w:val="en-US" w:eastAsia="zh-CN"/>
        </w:rPr>
        <w:t xml:space="preserve">spatial domain </w:t>
      </w:r>
      <w:r>
        <w:rPr>
          <w:rFonts w:hint="eastAsia" w:ascii="Times New Roman" w:hAnsi="Times New Roman" w:eastAsia="等线"/>
          <w:bCs/>
          <w:iCs/>
          <w:sz w:val="20"/>
          <w:szCs w:val="20"/>
          <w:lang w:val="en-US" w:eastAsia="zh-CN"/>
        </w:rPr>
        <w:t xml:space="preserve">UE RX beam </w:t>
      </w:r>
      <w:r>
        <w:rPr>
          <w:rFonts w:hint="eastAsia" w:ascii="Times New Roman" w:hAnsi="Times New Roman" w:eastAsia="等线"/>
          <w:b w:val="0"/>
          <w:bCs/>
          <w:iCs/>
          <w:sz w:val="20"/>
          <w:szCs w:val="20"/>
          <w:lang w:val="en-US" w:eastAsia="zh-CN"/>
        </w:rPr>
        <w:t xml:space="preserve">sweeping reduction is not studied in 5G-A, and can be studied in 6G as RAN4-driven use case. </w:t>
      </w:r>
    </w:p>
    <w:p w14:paraId="3574F728">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1: AI/ML based spatial domain UE RX beam sweeping reduction is not studied in 5G-A.</w:t>
      </w:r>
    </w:p>
    <w:p w14:paraId="2DF6EA49">
      <w:pPr>
        <w:numPr>
          <w:ilvl w:val="0"/>
          <w:numId w:val="8"/>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Beam prediction in 5G-A focus on DL Tx beam prediction</w:t>
      </w:r>
    </w:p>
    <w:p w14:paraId="70E74FCC">
      <w:pPr>
        <w:numPr>
          <w:ilvl w:val="0"/>
          <w:numId w:val="9"/>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The discussion on RX beam knowledge in 5G-A is about whether RX beam corresponding to the predicted TX beam is known, and the discussion is about L1 level beam, the main spec impact is TCI state known condition</w:t>
      </w:r>
    </w:p>
    <w:p w14:paraId="76935250">
      <w:pPr>
        <w:numPr>
          <w:ilvl w:val="0"/>
          <w:numId w:val="8"/>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AI/ML for mobility in 5G-A, for UE sided model, spatial domain prediction is not supported</w:t>
      </w:r>
    </w:p>
    <w:p w14:paraId="3CCDA00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val="0"/>
          <w:bCs/>
          <w:iCs/>
          <w:sz w:val="20"/>
          <w:szCs w:val="20"/>
          <w:lang w:val="en-US" w:eastAsia="zh-CN"/>
        </w:rPr>
        <w:t>AI/ML based spatial domain UE RX beam sweeping reduction is beneficial in reducing measurement delay. For NR,</w:t>
      </w:r>
      <w:r>
        <w:rPr>
          <w:rFonts w:hint="eastAsia" w:ascii="Times New Roman" w:hAnsi="Times New Roman" w:eastAsia="等线"/>
          <w:bCs/>
          <w:iCs/>
          <w:sz w:val="20"/>
          <w:szCs w:val="20"/>
          <w:lang w:val="en-US" w:eastAsia="zh-CN"/>
        </w:rPr>
        <w:t xml:space="preserve"> FR2 RRM requirements allow excessively long delay with RX beam sweeping factor. Taking cell re-selection as an example, the related delay requirements are duplicated as following. For DRX cycle length of 0.32s, the T</w:t>
      </w:r>
      <w:r>
        <w:rPr>
          <w:rFonts w:hint="eastAsia" w:ascii="Times New Roman" w:hAnsi="Times New Roman" w:eastAsia="等线"/>
          <w:bCs/>
          <w:iCs/>
          <w:sz w:val="20"/>
          <w:szCs w:val="20"/>
          <w:vertAlign w:val="subscript"/>
          <w:lang w:val="en-US" w:eastAsia="zh-CN"/>
        </w:rPr>
        <w:t>detect</w:t>
      </w:r>
      <w:r>
        <w:rPr>
          <w:rFonts w:hint="eastAsia" w:ascii="Times New Roman" w:hAnsi="Times New Roman" w:eastAsia="等线"/>
          <w:bCs/>
          <w:iCs/>
          <w:sz w:val="20"/>
          <w:szCs w:val="20"/>
          <w:lang w:val="en-US" w:eastAsia="zh-CN"/>
        </w:rPr>
        <w:t xml:space="preserve"> for FR2-1 with 20ms SMTC periodicity is about 138 seconds. Even with UE velocity of 30km/h， it moves about 1150 meters, which is not good for mobility, especially for FR2 deployment with limited cell coverage. The main contributor for long delay is the scaling factor (N1), which could be up to 8 for FR2-1, and even higher, e.g. 12, for FR2-2.</w:t>
      </w:r>
    </w:p>
    <w:p w14:paraId="3A85B0E0">
      <w:pPr>
        <w:pStyle w:val="26"/>
      </w:pPr>
      <w:r>
        <w:t>Table 4.2.2.3-1: T</w:t>
      </w:r>
      <w:r>
        <w:rPr>
          <w:vertAlign w:val="subscript"/>
        </w:rPr>
        <w:t>detect,NR_Intra,</w:t>
      </w:r>
      <w:r>
        <w:t xml:space="preserve"> T</w:t>
      </w:r>
      <w:r>
        <w:rPr>
          <w:vertAlign w:val="subscript"/>
        </w:rPr>
        <w:t>measure,NR_Intra</w:t>
      </w:r>
      <w:r>
        <w:t xml:space="preserve"> and T</w:t>
      </w:r>
      <w:r>
        <w:rPr>
          <w:vertAlign w:val="subscript"/>
        </w:rPr>
        <w:t>evaluate,NR_Intra</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676"/>
        <w:gridCol w:w="477"/>
        <w:gridCol w:w="1249"/>
        <w:gridCol w:w="1373"/>
        <w:gridCol w:w="2219"/>
        <w:gridCol w:w="1561"/>
        <w:gridCol w:w="1696"/>
      </w:tblGrid>
      <w:tr w14:paraId="19C2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single" w:color="auto" w:sz="4" w:space="0"/>
              <w:left w:val="single" w:color="auto" w:sz="4" w:space="0"/>
              <w:bottom w:val="nil"/>
              <w:right w:val="single" w:color="auto" w:sz="4" w:space="0"/>
            </w:tcBorders>
          </w:tcPr>
          <w:p w14:paraId="3B1C9944">
            <w:pPr>
              <w:pStyle w:val="27"/>
            </w:pPr>
            <w:r>
              <w:t>DRX cycle length [s]</w:t>
            </w:r>
          </w:p>
        </w:tc>
        <w:tc>
          <w:tcPr>
            <w:tcW w:w="1675" w:type="pct"/>
            <w:gridSpan w:val="3"/>
            <w:tcBorders>
              <w:top w:val="single" w:color="auto" w:sz="4" w:space="0"/>
              <w:left w:val="single" w:color="auto" w:sz="4" w:space="0"/>
              <w:bottom w:val="single" w:color="auto" w:sz="4" w:space="0"/>
              <w:right w:val="single" w:color="auto" w:sz="4" w:space="0"/>
            </w:tcBorders>
          </w:tcPr>
          <w:p w14:paraId="3416185B">
            <w:pPr>
              <w:pStyle w:val="27"/>
            </w:pPr>
            <w:r>
              <w:t>Scaling Factor (N1)</w:t>
            </w:r>
          </w:p>
        </w:tc>
        <w:tc>
          <w:tcPr>
            <w:tcW w:w="1204" w:type="pct"/>
            <w:tcBorders>
              <w:top w:val="single" w:color="auto" w:sz="4" w:space="0"/>
              <w:left w:val="single" w:color="auto" w:sz="4" w:space="0"/>
              <w:bottom w:val="nil"/>
              <w:right w:val="single" w:color="auto" w:sz="4" w:space="0"/>
            </w:tcBorders>
          </w:tcPr>
          <w:p w14:paraId="023885B8">
            <w:pPr>
              <w:pStyle w:val="27"/>
            </w:pPr>
            <w:r>
              <w:t>T</w:t>
            </w:r>
            <w:r>
              <w:rPr>
                <w:vertAlign w:val="subscript"/>
              </w:rPr>
              <w:t>detect,NR_Intra</w:t>
            </w:r>
            <w:r>
              <w:t xml:space="preserve"> [s] (number of DRX cycles)</w:t>
            </w:r>
          </w:p>
        </w:tc>
        <w:tc>
          <w:tcPr>
            <w:tcW w:w="848" w:type="pct"/>
            <w:tcBorders>
              <w:top w:val="single" w:color="auto" w:sz="4" w:space="0"/>
              <w:left w:val="single" w:color="auto" w:sz="4" w:space="0"/>
              <w:bottom w:val="nil"/>
              <w:right w:val="single" w:color="auto" w:sz="4" w:space="0"/>
            </w:tcBorders>
          </w:tcPr>
          <w:p w14:paraId="385EC5B0">
            <w:pPr>
              <w:pStyle w:val="27"/>
            </w:pPr>
            <w:r>
              <w:t>T</w:t>
            </w:r>
            <w:r>
              <w:rPr>
                <w:vertAlign w:val="subscript"/>
              </w:rPr>
              <w:t>measure,NR_Intra</w:t>
            </w:r>
            <w:r>
              <w:t xml:space="preserve"> [s] (number of DRX cycles)</w:t>
            </w:r>
          </w:p>
        </w:tc>
        <w:tc>
          <w:tcPr>
            <w:tcW w:w="922" w:type="pct"/>
            <w:tcBorders>
              <w:top w:val="single" w:color="auto" w:sz="4" w:space="0"/>
              <w:left w:val="single" w:color="auto" w:sz="4" w:space="0"/>
              <w:bottom w:val="nil"/>
              <w:right w:val="single" w:color="auto" w:sz="4" w:space="0"/>
            </w:tcBorders>
          </w:tcPr>
          <w:p w14:paraId="442CFD46">
            <w:pPr>
              <w:pStyle w:val="27"/>
              <w:rPr>
                <w:vertAlign w:val="subscript"/>
              </w:rPr>
            </w:pPr>
            <w:r>
              <w:t>T</w:t>
            </w:r>
            <w:r>
              <w:rPr>
                <w:vertAlign w:val="subscript"/>
              </w:rPr>
              <w:t>evaluate,NR_</w:t>
            </w:r>
            <w:r>
              <w:rPr>
                <w:rFonts w:cs="v4.2.0"/>
                <w:vertAlign w:val="subscript"/>
              </w:rPr>
              <w:t>Intra</w:t>
            </w:r>
          </w:p>
          <w:p w14:paraId="3DA524D2">
            <w:pPr>
              <w:pStyle w:val="27"/>
            </w:pPr>
            <w:r>
              <w:t>[s] (number of DRX cycles)</w:t>
            </w:r>
          </w:p>
        </w:tc>
      </w:tr>
      <w:tr w14:paraId="735EA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nil"/>
              <w:left w:val="single" w:color="auto" w:sz="4" w:space="0"/>
              <w:bottom w:val="single" w:color="auto" w:sz="4" w:space="0"/>
              <w:right w:val="single" w:color="auto" w:sz="4" w:space="0"/>
            </w:tcBorders>
            <w:vAlign w:val="center"/>
          </w:tcPr>
          <w:p w14:paraId="03911159">
            <w:pPr>
              <w:pStyle w:val="27"/>
            </w:pPr>
          </w:p>
        </w:tc>
        <w:tc>
          <w:tcPr>
            <w:tcW w:w="248" w:type="pct"/>
            <w:tcBorders>
              <w:top w:val="single" w:color="auto" w:sz="4" w:space="0"/>
              <w:left w:val="single" w:color="auto" w:sz="4" w:space="0"/>
              <w:bottom w:val="single" w:color="auto" w:sz="4" w:space="0"/>
              <w:right w:val="single" w:color="auto" w:sz="4" w:space="0"/>
            </w:tcBorders>
          </w:tcPr>
          <w:p w14:paraId="028069F5">
            <w:pPr>
              <w:pStyle w:val="27"/>
            </w:pPr>
            <w:r>
              <w:t>FR1</w:t>
            </w:r>
          </w:p>
        </w:tc>
        <w:tc>
          <w:tcPr>
            <w:tcW w:w="680" w:type="pct"/>
            <w:tcBorders>
              <w:top w:val="single" w:color="auto" w:sz="4" w:space="0"/>
              <w:left w:val="single" w:color="auto" w:sz="4" w:space="0"/>
              <w:bottom w:val="single" w:color="auto" w:sz="4" w:space="0"/>
              <w:right w:val="single" w:color="auto" w:sz="4" w:space="0"/>
            </w:tcBorders>
          </w:tcPr>
          <w:p w14:paraId="19008E75">
            <w:pPr>
              <w:pStyle w:val="27"/>
              <w:rPr>
                <w:vertAlign w:val="superscript"/>
              </w:rPr>
            </w:pPr>
            <w:r>
              <w:t>FR2-1</w:t>
            </w:r>
            <w:r>
              <w:rPr>
                <w:vertAlign w:val="superscript"/>
              </w:rPr>
              <w:t>Note1</w:t>
            </w:r>
          </w:p>
        </w:tc>
        <w:tc>
          <w:tcPr>
            <w:tcW w:w="747" w:type="pct"/>
            <w:tcBorders>
              <w:top w:val="single" w:color="auto" w:sz="4" w:space="0"/>
              <w:left w:val="single" w:color="auto" w:sz="4" w:space="0"/>
              <w:bottom w:val="single" w:color="auto" w:sz="4" w:space="0"/>
              <w:right w:val="single" w:color="auto" w:sz="4" w:space="0"/>
            </w:tcBorders>
          </w:tcPr>
          <w:p w14:paraId="0D8102C3">
            <w:pPr>
              <w:pStyle w:val="27"/>
              <w:rPr>
                <w:vertAlign w:val="superscript"/>
              </w:rPr>
            </w:pPr>
            <w:r>
              <w:rPr>
                <w:lang w:eastAsia="zh-CN"/>
              </w:rPr>
              <w:t>FR2-2</w:t>
            </w:r>
            <w:r>
              <w:rPr>
                <w:vertAlign w:val="superscript"/>
              </w:rPr>
              <w:t xml:space="preserve"> Note2</w:t>
            </w:r>
          </w:p>
        </w:tc>
        <w:tc>
          <w:tcPr>
            <w:tcW w:w="1204" w:type="pct"/>
            <w:tcBorders>
              <w:top w:val="nil"/>
              <w:left w:val="single" w:color="auto" w:sz="4" w:space="0"/>
              <w:bottom w:val="single" w:color="auto" w:sz="4" w:space="0"/>
              <w:right w:val="single" w:color="auto" w:sz="4" w:space="0"/>
            </w:tcBorders>
            <w:vAlign w:val="center"/>
          </w:tcPr>
          <w:p w14:paraId="24C4B11E">
            <w:pPr>
              <w:pStyle w:val="27"/>
            </w:pPr>
          </w:p>
        </w:tc>
        <w:tc>
          <w:tcPr>
            <w:tcW w:w="848" w:type="pct"/>
            <w:tcBorders>
              <w:top w:val="nil"/>
              <w:left w:val="single" w:color="auto" w:sz="4" w:space="0"/>
              <w:bottom w:val="single" w:color="auto" w:sz="4" w:space="0"/>
              <w:right w:val="single" w:color="auto" w:sz="4" w:space="0"/>
            </w:tcBorders>
            <w:vAlign w:val="center"/>
          </w:tcPr>
          <w:p w14:paraId="55D2D2AC">
            <w:pPr>
              <w:pStyle w:val="27"/>
            </w:pPr>
          </w:p>
        </w:tc>
        <w:tc>
          <w:tcPr>
            <w:tcW w:w="922" w:type="pct"/>
            <w:tcBorders>
              <w:top w:val="nil"/>
              <w:left w:val="single" w:color="auto" w:sz="4" w:space="0"/>
              <w:bottom w:val="single" w:color="auto" w:sz="4" w:space="0"/>
              <w:right w:val="single" w:color="auto" w:sz="4" w:space="0"/>
            </w:tcBorders>
            <w:vAlign w:val="center"/>
          </w:tcPr>
          <w:p w14:paraId="5B4FFA43">
            <w:pPr>
              <w:pStyle w:val="27"/>
            </w:pPr>
          </w:p>
        </w:tc>
      </w:tr>
      <w:tr w14:paraId="7C430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single" w:color="auto" w:sz="4" w:space="0"/>
              <w:left w:val="single" w:color="auto" w:sz="4" w:space="0"/>
              <w:bottom w:val="single" w:color="auto" w:sz="4" w:space="0"/>
              <w:right w:val="single" w:color="auto" w:sz="4" w:space="0"/>
            </w:tcBorders>
          </w:tcPr>
          <w:p w14:paraId="3BC10FE9">
            <w:pPr>
              <w:pStyle w:val="28"/>
            </w:pPr>
            <w:r>
              <w:t>0.32</w:t>
            </w:r>
          </w:p>
        </w:tc>
        <w:tc>
          <w:tcPr>
            <w:tcW w:w="248" w:type="pct"/>
            <w:tcBorders>
              <w:top w:val="single" w:color="auto" w:sz="4" w:space="0"/>
              <w:left w:val="single" w:color="auto" w:sz="4" w:space="0"/>
              <w:bottom w:val="nil"/>
              <w:right w:val="single" w:color="auto" w:sz="4" w:space="0"/>
            </w:tcBorders>
            <w:vAlign w:val="center"/>
          </w:tcPr>
          <w:p w14:paraId="7E7A3667">
            <w:pPr>
              <w:pStyle w:val="28"/>
            </w:pPr>
            <w:r>
              <w:t>1</w:t>
            </w:r>
          </w:p>
        </w:tc>
        <w:tc>
          <w:tcPr>
            <w:tcW w:w="680" w:type="pct"/>
            <w:tcBorders>
              <w:top w:val="single" w:color="auto" w:sz="4" w:space="0"/>
              <w:left w:val="single" w:color="auto" w:sz="4" w:space="0"/>
              <w:bottom w:val="single" w:color="auto" w:sz="4" w:space="0"/>
              <w:right w:val="single" w:color="auto" w:sz="4" w:space="0"/>
            </w:tcBorders>
          </w:tcPr>
          <w:p w14:paraId="195DAF67">
            <w:pPr>
              <w:pStyle w:val="28"/>
            </w:pPr>
            <w:r>
              <w:t>8</w:t>
            </w:r>
          </w:p>
        </w:tc>
        <w:tc>
          <w:tcPr>
            <w:tcW w:w="747" w:type="pct"/>
            <w:tcBorders>
              <w:top w:val="single" w:color="auto" w:sz="4" w:space="0"/>
              <w:left w:val="single" w:color="auto" w:sz="4" w:space="0"/>
              <w:bottom w:val="single" w:color="auto" w:sz="4" w:space="0"/>
              <w:right w:val="single" w:color="auto" w:sz="4" w:space="0"/>
            </w:tcBorders>
          </w:tcPr>
          <w:p w14:paraId="3B202500">
            <w:pPr>
              <w:pStyle w:val="28"/>
              <w:rPr>
                <w:szCs w:val="18"/>
              </w:rPr>
            </w:pPr>
            <w:r>
              <w:rPr>
                <w:rFonts w:cs="Arial"/>
                <w:szCs w:val="18"/>
                <w:lang w:eastAsia="zh-CN"/>
              </w:rPr>
              <w:t>12</w:t>
            </w:r>
          </w:p>
        </w:tc>
        <w:tc>
          <w:tcPr>
            <w:tcW w:w="1204" w:type="pct"/>
            <w:tcBorders>
              <w:top w:val="single" w:color="auto" w:sz="4" w:space="0"/>
              <w:left w:val="single" w:color="auto" w:sz="4" w:space="0"/>
              <w:bottom w:val="single" w:color="auto" w:sz="4" w:space="0"/>
              <w:right w:val="single" w:color="auto" w:sz="4" w:space="0"/>
            </w:tcBorders>
          </w:tcPr>
          <w:p w14:paraId="7E95BA4D">
            <w:pPr>
              <w:pStyle w:val="28"/>
            </w:pPr>
            <w:r>
              <w:t xml:space="preserve">11.52 x N1 </w:t>
            </w:r>
            <w:r>
              <w:rPr>
                <w:rFonts w:cs="Arial"/>
                <w:lang w:eastAsia="zh-CN"/>
              </w:rPr>
              <w:t xml:space="preserve">x M2 </w:t>
            </w:r>
            <w:r>
              <w:t>(36 x N1</w:t>
            </w:r>
            <w:r>
              <w:rPr>
                <w:rFonts w:cs="Arial"/>
                <w:lang w:eastAsia="zh-CN"/>
              </w:rPr>
              <w:t xml:space="preserve"> x M2</w:t>
            </w:r>
            <w:r>
              <w:t>)</w:t>
            </w:r>
          </w:p>
        </w:tc>
        <w:tc>
          <w:tcPr>
            <w:tcW w:w="848" w:type="pct"/>
            <w:tcBorders>
              <w:top w:val="single" w:color="auto" w:sz="4" w:space="0"/>
              <w:left w:val="single" w:color="auto" w:sz="4" w:space="0"/>
              <w:bottom w:val="single" w:color="auto" w:sz="4" w:space="0"/>
              <w:right w:val="single" w:color="auto" w:sz="4" w:space="0"/>
            </w:tcBorders>
          </w:tcPr>
          <w:p w14:paraId="78B73E58">
            <w:pPr>
              <w:pStyle w:val="28"/>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922" w:type="pct"/>
            <w:tcBorders>
              <w:top w:val="single" w:color="auto" w:sz="4" w:space="0"/>
              <w:left w:val="single" w:color="auto" w:sz="4" w:space="0"/>
              <w:bottom w:val="single" w:color="auto" w:sz="4" w:space="0"/>
              <w:right w:val="single" w:color="auto" w:sz="4" w:space="0"/>
            </w:tcBorders>
          </w:tcPr>
          <w:p w14:paraId="3520EEF6">
            <w:pPr>
              <w:pStyle w:val="28"/>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14:paraId="192F5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single" w:color="auto" w:sz="4" w:space="0"/>
              <w:left w:val="single" w:color="auto" w:sz="4" w:space="0"/>
              <w:bottom w:val="single" w:color="auto" w:sz="4" w:space="0"/>
              <w:right w:val="single" w:color="auto" w:sz="4" w:space="0"/>
            </w:tcBorders>
          </w:tcPr>
          <w:p w14:paraId="7988CD93">
            <w:pPr>
              <w:pStyle w:val="28"/>
            </w:pPr>
            <w:r>
              <w:t>0.64</w:t>
            </w:r>
          </w:p>
        </w:tc>
        <w:tc>
          <w:tcPr>
            <w:tcW w:w="248" w:type="pct"/>
            <w:tcBorders>
              <w:top w:val="nil"/>
              <w:left w:val="single" w:color="auto" w:sz="4" w:space="0"/>
              <w:bottom w:val="nil"/>
              <w:right w:val="single" w:color="auto" w:sz="4" w:space="0"/>
            </w:tcBorders>
            <w:vAlign w:val="center"/>
          </w:tcPr>
          <w:p w14:paraId="30BA196E">
            <w:pPr>
              <w:pStyle w:val="28"/>
            </w:pPr>
          </w:p>
        </w:tc>
        <w:tc>
          <w:tcPr>
            <w:tcW w:w="680" w:type="pct"/>
            <w:tcBorders>
              <w:top w:val="single" w:color="auto" w:sz="4" w:space="0"/>
              <w:left w:val="single" w:color="auto" w:sz="4" w:space="0"/>
              <w:bottom w:val="single" w:color="auto" w:sz="4" w:space="0"/>
              <w:right w:val="single" w:color="auto" w:sz="4" w:space="0"/>
            </w:tcBorders>
          </w:tcPr>
          <w:p w14:paraId="758AD2B6">
            <w:pPr>
              <w:pStyle w:val="28"/>
            </w:pPr>
            <w:r>
              <w:t>5</w:t>
            </w:r>
          </w:p>
        </w:tc>
        <w:tc>
          <w:tcPr>
            <w:tcW w:w="747" w:type="pct"/>
            <w:tcBorders>
              <w:top w:val="single" w:color="auto" w:sz="4" w:space="0"/>
              <w:left w:val="single" w:color="auto" w:sz="4" w:space="0"/>
              <w:bottom w:val="single" w:color="auto" w:sz="4" w:space="0"/>
              <w:right w:val="single" w:color="auto" w:sz="4" w:space="0"/>
            </w:tcBorders>
          </w:tcPr>
          <w:p w14:paraId="06724651">
            <w:pPr>
              <w:pStyle w:val="28"/>
              <w:rPr>
                <w:szCs w:val="18"/>
              </w:rPr>
            </w:pPr>
            <w:r>
              <w:rPr>
                <w:rFonts w:cs="Arial"/>
                <w:szCs w:val="18"/>
                <w:lang w:eastAsia="zh-CN"/>
              </w:rPr>
              <w:t>8</w:t>
            </w:r>
          </w:p>
        </w:tc>
        <w:tc>
          <w:tcPr>
            <w:tcW w:w="1204" w:type="pct"/>
            <w:tcBorders>
              <w:top w:val="single" w:color="auto" w:sz="4" w:space="0"/>
              <w:left w:val="single" w:color="auto" w:sz="4" w:space="0"/>
              <w:bottom w:val="single" w:color="auto" w:sz="4" w:space="0"/>
              <w:right w:val="single" w:color="auto" w:sz="4" w:space="0"/>
            </w:tcBorders>
          </w:tcPr>
          <w:p w14:paraId="217F15DD">
            <w:pPr>
              <w:pStyle w:val="28"/>
            </w:pPr>
            <w:r>
              <w:t>17.92 x N1 (28 x N1)</w:t>
            </w:r>
          </w:p>
        </w:tc>
        <w:tc>
          <w:tcPr>
            <w:tcW w:w="848" w:type="pct"/>
            <w:tcBorders>
              <w:top w:val="single" w:color="auto" w:sz="4" w:space="0"/>
              <w:left w:val="single" w:color="auto" w:sz="4" w:space="0"/>
              <w:bottom w:val="single" w:color="auto" w:sz="4" w:space="0"/>
              <w:right w:val="single" w:color="auto" w:sz="4" w:space="0"/>
            </w:tcBorders>
          </w:tcPr>
          <w:p w14:paraId="480901A0">
            <w:pPr>
              <w:pStyle w:val="28"/>
            </w:pPr>
            <w:r>
              <w:t>1.28 x N1 (2 x N1)</w:t>
            </w:r>
          </w:p>
        </w:tc>
        <w:tc>
          <w:tcPr>
            <w:tcW w:w="922" w:type="pct"/>
            <w:tcBorders>
              <w:top w:val="single" w:color="auto" w:sz="4" w:space="0"/>
              <w:left w:val="single" w:color="auto" w:sz="4" w:space="0"/>
              <w:bottom w:val="single" w:color="auto" w:sz="4" w:space="0"/>
              <w:right w:val="single" w:color="auto" w:sz="4" w:space="0"/>
            </w:tcBorders>
          </w:tcPr>
          <w:p w14:paraId="477A454F">
            <w:pPr>
              <w:pStyle w:val="28"/>
            </w:pPr>
            <w:r>
              <w:t>5.12 x N1 (8 x N1)</w:t>
            </w:r>
          </w:p>
        </w:tc>
      </w:tr>
      <w:tr w14:paraId="50EAC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single" w:color="auto" w:sz="4" w:space="0"/>
              <w:left w:val="single" w:color="auto" w:sz="4" w:space="0"/>
              <w:bottom w:val="single" w:color="auto" w:sz="4" w:space="0"/>
              <w:right w:val="single" w:color="auto" w:sz="4" w:space="0"/>
            </w:tcBorders>
          </w:tcPr>
          <w:p w14:paraId="171D3171">
            <w:pPr>
              <w:pStyle w:val="28"/>
            </w:pPr>
            <w:r>
              <w:t>1.28</w:t>
            </w:r>
          </w:p>
        </w:tc>
        <w:tc>
          <w:tcPr>
            <w:tcW w:w="248" w:type="pct"/>
            <w:tcBorders>
              <w:top w:val="nil"/>
              <w:left w:val="single" w:color="auto" w:sz="4" w:space="0"/>
              <w:bottom w:val="nil"/>
              <w:right w:val="single" w:color="auto" w:sz="4" w:space="0"/>
            </w:tcBorders>
            <w:vAlign w:val="center"/>
          </w:tcPr>
          <w:p w14:paraId="4E1437F7">
            <w:pPr>
              <w:pStyle w:val="28"/>
            </w:pPr>
          </w:p>
        </w:tc>
        <w:tc>
          <w:tcPr>
            <w:tcW w:w="680" w:type="pct"/>
            <w:tcBorders>
              <w:top w:val="single" w:color="auto" w:sz="4" w:space="0"/>
              <w:left w:val="single" w:color="auto" w:sz="4" w:space="0"/>
              <w:bottom w:val="single" w:color="auto" w:sz="4" w:space="0"/>
              <w:right w:val="single" w:color="auto" w:sz="4" w:space="0"/>
            </w:tcBorders>
          </w:tcPr>
          <w:p w14:paraId="4B154108">
            <w:pPr>
              <w:pStyle w:val="28"/>
            </w:pPr>
            <w:r>
              <w:t>4</w:t>
            </w:r>
          </w:p>
        </w:tc>
        <w:tc>
          <w:tcPr>
            <w:tcW w:w="747" w:type="pct"/>
            <w:tcBorders>
              <w:top w:val="single" w:color="auto" w:sz="4" w:space="0"/>
              <w:left w:val="single" w:color="auto" w:sz="4" w:space="0"/>
              <w:bottom w:val="single" w:color="auto" w:sz="4" w:space="0"/>
              <w:right w:val="single" w:color="auto" w:sz="4" w:space="0"/>
            </w:tcBorders>
          </w:tcPr>
          <w:p w14:paraId="3013C739">
            <w:pPr>
              <w:pStyle w:val="28"/>
              <w:rPr>
                <w:szCs w:val="18"/>
              </w:rPr>
            </w:pPr>
            <w:r>
              <w:rPr>
                <w:rFonts w:cs="Arial"/>
                <w:szCs w:val="18"/>
                <w:lang w:eastAsia="zh-CN"/>
              </w:rPr>
              <w:t>6</w:t>
            </w:r>
          </w:p>
        </w:tc>
        <w:tc>
          <w:tcPr>
            <w:tcW w:w="1204" w:type="pct"/>
            <w:tcBorders>
              <w:top w:val="single" w:color="auto" w:sz="4" w:space="0"/>
              <w:left w:val="single" w:color="auto" w:sz="4" w:space="0"/>
              <w:bottom w:val="single" w:color="auto" w:sz="4" w:space="0"/>
              <w:right w:val="single" w:color="auto" w:sz="4" w:space="0"/>
            </w:tcBorders>
          </w:tcPr>
          <w:p w14:paraId="03714C27">
            <w:pPr>
              <w:pStyle w:val="28"/>
            </w:pPr>
            <w:r>
              <w:t>32 x N1 (25 x N1)</w:t>
            </w:r>
          </w:p>
        </w:tc>
        <w:tc>
          <w:tcPr>
            <w:tcW w:w="848" w:type="pct"/>
            <w:tcBorders>
              <w:top w:val="single" w:color="auto" w:sz="4" w:space="0"/>
              <w:left w:val="single" w:color="auto" w:sz="4" w:space="0"/>
              <w:bottom w:val="single" w:color="auto" w:sz="4" w:space="0"/>
              <w:right w:val="single" w:color="auto" w:sz="4" w:space="0"/>
            </w:tcBorders>
          </w:tcPr>
          <w:p w14:paraId="75820C88">
            <w:pPr>
              <w:pStyle w:val="28"/>
            </w:pPr>
            <w:r>
              <w:t>1.28 x N1 (1 x N1)</w:t>
            </w:r>
          </w:p>
        </w:tc>
        <w:tc>
          <w:tcPr>
            <w:tcW w:w="922" w:type="pct"/>
            <w:tcBorders>
              <w:top w:val="single" w:color="auto" w:sz="4" w:space="0"/>
              <w:left w:val="single" w:color="auto" w:sz="4" w:space="0"/>
              <w:bottom w:val="single" w:color="auto" w:sz="4" w:space="0"/>
              <w:right w:val="single" w:color="auto" w:sz="4" w:space="0"/>
            </w:tcBorders>
          </w:tcPr>
          <w:p w14:paraId="60189FD1">
            <w:pPr>
              <w:pStyle w:val="28"/>
            </w:pPr>
            <w:r>
              <w:t>6.4 x N1 (5 x N1)</w:t>
            </w:r>
          </w:p>
        </w:tc>
      </w:tr>
      <w:tr w14:paraId="6C076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single" w:color="auto" w:sz="4" w:space="0"/>
              <w:left w:val="single" w:color="auto" w:sz="4" w:space="0"/>
              <w:bottom w:val="single" w:color="auto" w:sz="4" w:space="0"/>
              <w:right w:val="single" w:color="auto" w:sz="4" w:space="0"/>
            </w:tcBorders>
          </w:tcPr>
          <w:p w14:paraId="690571FD">
            <w:pPr>
              <w:pStyle w:val="28"/>
            </w:pPr>
            <w:r>
              <w:t>2.56</w:t>
            </w:r>
          </w:p>
        </w:tc>
        <w:tc>
          <w:tcPr>
            <w:tcW w:w="248" w:type="pct"/>
            <w:tcBorders>
              <w:top w:val="nil"/>
              <w:left w:val="single" w:color="auto" w:sz="4" w:space="0"/>
              <w:bottom w:val="single" w:color="auto" w:sz="4" w:space="0"/>
              <w:right w:val="single" w:color="auto" w:sz="4" w:space="0"/>
            </w:tcBorders>
            <w:vAlign w:val="center"/>
          </w:tcPr>
          <w:p w14:paraId="71022648">
            <w:pPr>
              <w:pStyle w:val="28"/>
            </w:pPr>
          </w:p>
        </w:tc>
        <w:tc>
          <w:tcPr>
            <w:tcW w:w="680" w:type="pct"/>
            <w:tcBorders>
              <w:top w:val="single" w:color="auto" w:sz="4" w:space="0"/>
              <w:left w:val="single" w:color="auto" w:sz="4" w:space="0"/>
              <w:bottom w:val="single" w:color="auto" w:sz="4" w:space="0"/>
              <w:right w:val="single" w:color="auto" w:sz="4" w:space="0"/>
            </w:tcBorders>
          </w:tcPr>
          <w:p w14:paraId="796B6429">
            <w:pPr>
              <w:pStyle w:val="28"/>
              <w:rPr>
                <w:rFonts w:cs="Arial"/>
                <w:lang w:eastAsia="zh-CN"/>
              </w:rPr>
            </w:pPr>
            <w:r>
              <w:rPr>
                <w:rFonts w:cs="Arial"/>
                <w:lang w:eastAsia="zh-CN"/>
              </w:rPr>
              <w:t>3</w:t>
            </w:r>
          </w:p>
        </w:tc>
        <w:tc>
          <w:tcPr>
            <w:tcW w:w="747" w:type="pct"/>
            <w:tcBorders>
              <w:top w:val="single" w:color="auto" w:sz="4" w:space="0"/>
              <w:left w:val="single" w:color="auto" w:sz="4" w:space="0"/>
              <w:bottom w:val="single" w:color="auto" w:sz="4" w:space="0"/>
              <w:right w:val="single" w:color="auto" w:sz="4" w:space="0"/>
            </w:tcBorders>
          </w:tcPr>
          <w:p w14:paraId="2853D887">
            <w:pPr>
              <w:pStyle w:val="28"/>
              <w:rPr>
                <w:rFonts w:cs="Arial"/>
                <w:szCs w:val="18"/>
                <w:lang w:eastAsia="zh-CN"/>
              </w:rPr>
            </w:pPr>
            <w:r>
              <w:rPr>
                <w:rFonts w:cs="Arial"/>
                <w:szCs w:val="18"/>
                <w:lang w:eastAsia="zh-CN"/>
              </w:rPr>
              <w:t>5</w:t>
            </w:r>
          </w:p>
        </w:tc>
        <w:tc>
          <w:tcPr>
            <w:tcW w:w="1204" w:type="pct"/>
            <w:tcBorders>
              <w:top w:val="single" w:color="auto" w:sz="4" w:space="0"/>
              <w:left w:val="single" w:color="auto" w:sz="4" w:space="0"/>
              <w:bottom w:val="single" w:color="auto" w:sz="4" w:space="0"/>
              <w:right w:val="single" w:color="auto" w:sz="4" w:space="0"/>
            </w:tcBorders>
          </w:tcPr>
          <w:p w14:paraId="4D3C7ABA">
            <w:pPr>
              <w:pStyle w:val="28"/>
            </w:pPr>
            <w:r>
              <w:rPr>
                <w:rFonts w:cs="Arial"/>
                <w:lang w:eastAsia="zh-CN"/>
              </w:rPr>
              <w:t>58.88</w:t>
            </w:r>
            <w:r>
              <w:t xml:space="preserve"> x N1 (23 x N1)</w:t>
            </w:r>
          </w:p>
        </w:tc>
        <w:tc>
          <w:tcPr>
            <w:tcW w:w="848" w:type="pct"/>
            <w:tcBorders>
              <w:top w:val="single" w:color="auto" w:sz="4" w:space="0"/>
              <w:left w:val="single" w:color="auto" w:sz="4" w:space="0"/>
              <w:bottom w:val="single" w:color="auto" w:sz="4" w:space="0"/>
              <w:right w:val="single" w:color="auto" w:sz="4" w:space="0"/>
            </w:tcBorders>
          </w:tcPr>
          <w:p w14:paraId="511A27B6">
            <w:pPr>
              <w:pStyle w:val="28"/>
            </w:pPr>
            <w:r>
              <w:t>2.56 x N1 (1 x N1)</w:t>
            </w:r>
          </w:p>
        </w:tc>
        <w:tc>
          <w:tcPr>
            <w:tcW w:w="922" w:type="pct"/>
            <w:tcBorders>
              <w:top w:val="single" w:color="auto" w:sz="4" w:space="0"/>
              <w:left w:val="single" w:color="auto" w:sz="4" w:space="0"/>
              <w:bottom w:val="single" w:color="auto" w:sz="4" w:space="0"/>
              <w:right w:val="single" w:color="auto" w:sz="4" w:space="0"/>
            </w:tcBorders>
          </w:tcPr>
          <w:p w14:paraId="3360B724">
            <w:pPr>
              <w:pStyle w:val="28"/>
            </w:pPr>
            <w:r>
              <w:t>7.68 x N1 (3 x N1)</w:t>
            </w:r>
          </w:p>
        </w:tc>
      </w:tr>
      <w:tr w14:paraId="5BA62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7"/>
            <w:tcBorders>
              <w:top w:val="single" w:color="auto" w:sz="4" w:space="0"/>
              <w:left w:val="single" w:color="auto" w:sz="4" w:space="0"/>
              <w:bottom w:val="single" w:color="auto" w:sz="4" w:space="0"/>
              <w:right w:val="single" w:color="auto" w:sz="4" w:space="0"/>
            </w:tcBorders>
          </w:tcPr>
          <w:p w14:paraId="6C8DDAD1">
            <w:pPr>
              <w:pStyle w:val="30"/>
            </w:pPr>
            <w:r>
              <w:rPr>
                <w:snapToGrid w:val="0"/>
                <w:lang w:eastAsia="zh-CN"/>
              </w:rPr>
              <w:t>NOTE 1</w:t>
            </w:r>
            <w:r>
              <w:t>:</w:t>
            </w:r>
            <w:r>
              <w:tab/>
            </w:r>
            <w:r>
              <w:t xml:space="preserve">Applies for UE supporting FR2-1 power class </w:t>
            </w:r>
            <w:r>
              <w:rPr>
                <w:lang w:eastAsia="zh-CN"/>
              </w:rPr>
              <w:t>2&amp;3&amp;4</w:t>
            </w:r>
            <w:r>
              <w:t>. For UE supporting FR2-1 power class 1</w:t>
            </w:r>
            <w:r>
              <w:rPr>
                <w:lang w:eastAsia="zh-CN"/>
              </w:rPr>
              <w:t xml:space="preserve"> or 5</w:t>
            </w:r>
            <w:r>
              <w:t>, N1 = 8 for all DRX cycle length.</w:t>
            </w:r>
          </w:p>
          <w:p w14:paraId="52EF191D">
            <w:pPr>
              <w:pStyle w:val="30"/>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p w14:paraId="0403D550">
            <w:pPr>
              <w:pStyle w:val="30"/>
            </w:pPr>
            <w:r>
              <w:rPr>
                <w:snapToGrid w:val="0"/>
                <w:lang w:eastAsia="zh-CN"/>
              </w:rPr>
              <w:t>NOTE 3:</w:t>
            </w:r>
            <w: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14:paraId="6EB295DD">
      <w:pPr>
        <w:rPr>
          <w:lang w:eastAsia="zh-CN"/>
        </w:rPr>
      </w:pPr>
    </w:p>
    <w:p w14:paraId="7E4502B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5G spectrum includes FR1(410MHz - 6.425 GHz) and FR2 (24.25-52.6GHz). Candidate 6G new spectrum is about 7 to 24 GHz. It can be expected that beam sweeping will play an important role for high frequency range.</w:t>
      </w:r>
    </w:p>
    <w:p w14:paraId="60906A7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UE RX beam prediction is not considered in 5G-A. As discussed in section 2.1, for AI/ML for air interface, beam prediction in 5G-A focus on DL Tx beam prediction. The discussion on RX beam knowledge in 5G-A is about whether RX beam corresponding to the predicted TX beam is known, and the discussion is about L1 level beam, the main spec impact is TCI state known condition. For AI/ML for mobility, the focus is temporal domain prediction case A and case B, and frequency domain prediction for co-located cases. Spatial domain prediction is not supported.</w:t>
      </w:r>
    </w:p>
    <w:p w14:paraId="6EDE63B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However, we believe DL RX beam prediction is also feasible. For example, spatial-domain DL Rx beam prediction for Set A of beams can be performed based on measurement results of Set B of beams, i.e. the properties of full set of RX beams can be inferred by the measurement with subset of RX beams, which means UE no need to measure all the candidate RS, the measurement to determine the best RX beam can be reduced. In this case, the RX beam sweeping factor can be reduced.</w:t>
      </w:r>
    </w:p>
    <w:p w14:paraId="0955ED2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With AI/ML based UE RX beam prediction, it is expected that RX beam sweeping factor could be reduced. With reduced RX beam sweeping factor, cell identification delay, including PSS/SSS detection, measurement period, SSB index detection, SCell activation delay, handover delay, PSCell addition delay, CGI identification delay, RRC Re-establishment/RRC Connection Release with Redirection delay can be reduced, which is beneficial for system.</w:t>
      </w:r>
    </w:p>
    <w:p w14:paraId="462B4D0D">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to consider the use case of AI/ML based spatial domain UE RX beam sweeping reduction</w:t>
      </w:r>
      <w:r>
        <w:rPr>
          <w:rFonts w:hint="eastAsia" w:ascii="Times New Roman" w:hAnsi="Times New Roman" w:eastAsia="等线" w:cs="Times New Roman"/>
          <w:b/>
          <w:bCs w:val="0"/>
          <w:i/>
          <w:iCs w:val="0"/>
          <w:sz w:val="20"/>
          <w:szCs w:val="20"/>
          <w:vertAlign w:val="baseline"/>
          <w:lang w:val="en-US" w:eastAsia="zh-CN"/>
        </w:rPr>
        <w:t>.</w:t>
      </w:r>
      <w:r>
        <w:rPr>
          <w:rFonts w:hint="eastAsia" w:ascii="Times New Roman" w:hAnsi="Times New Roman" w:eastAsia="等线"/>
          <w:b/>
          <w:bCs w:val="0"/>
          <w:i/>
          <w:iCs w:val="0"/>
          <w:sz w:val="20"/>
          <w:szCs w:val="20"/>
          <w:lang w:val="en-US" w:eastAsia="zh-CN"/>
        </w:rPr>
        <w:t xml:space="preserve">  </w:t>
      </w:r>
    </w:p>
    <w:p w14:paraId="07EDFDD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consideration is AI/ML based frequency domain measurement prediction for non co-located scenario. The motivation is to reduce MG configuration in practice. </w:t>
      </w:r>
    </w:p>
    <w:p w14:paraId="3CE3565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As discussed in section 2.1, frequency domain prediction is considered in 5G-A AI/ML for mobility, but only co-located scenario is considered. In this case, the impact on MG configuration is limited. Network has to configure measurement gap even if there is only one MO which needs MG. As duplicated as following, there are many conditions under which the measurement is considered as </w:t>
      </w:r>
      <w:r>
        <w:rPr>
          <w:rFonts w:hint="default" w:ascii="Times New Roman" w:hAnsi="Times New Roman" w:cs="Times New Roman"/>
          <w:sz w:val="20"/>
          <w:szCs w:val="20"/>
        </w:rPr>
        <w:t>inter-frequency SSB based measurements without measurement gaps</w:t>
      </w:r>
      <w:r>
        <w:rPr>
          <w:rFonts w:hint="eastAsia" w:ascii="Times New Roman" w:hAnsi="Times New Roman" w:cs="Times New Roman"/>
          <w:sz w:val="20"/>
          <w:szCs w:val="20"/>
          <w:lang w:val="en-US" w:eastAsia="zh-CN"/>
        </w:rPr>
        <w:t xml:space="preserve">. For inter-frequency measurement, the common case is that measurement gap is needed. </w:t>
      </w:r>
      <w:r>
        <w:rPr>
          <w:rFonts w:hint="eastAsia" w:ascii="Times New Roman" w:hAnsi="Times New Roman" w:eastAsia="等线"/>
          <w:bCs/>
          <w:iCs/>
          <w:sz w:val="20"/>
          <w:szCs w:val="20"/>
          <w:lang w:val="en-US" w:eastAsia="zh-CN"/>
        </w:rPr>
        <w:t>Only consider co-located scenario, the actual help in reducing measurement gap configuration is limited. It is necessary to study the AI/ML based frequency domain measurement prediction for non co-located scenario.</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C132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74" w:hRule="atLeast"/>
        </w:trPr>
        <w:tc>
          <w:tcPr>
            <w:tcW w:w="9331" w:type="dxa"/>
          </w:tcPr>
          <w:p w14:paraId="5402E3A6">
            <w:pPr>
              <w:spacing w:after="180" w:line="240" w:lineRule="exact"/>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TS 38.133 </w:t>
            </w:r>
          </w:p>
          <w:p w14:paraId="4893470B">
            <w:pPr>
              <w:keepNext/>
              <w:keepLines/>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 xml:space="preserve">A measurement is defined as an </w:t>
            </w:r>
            <w:r>
              <w:rPr>
                <w:rFonts w:hint="default" w:ascii="Times New Roman" w:hAnsi="Times New Roman" w:cs="Times New Roman"/>
                <w:sz w:val="20"/>
                <w:szCs w:val="20"/>
              </w:rPr>
              <w:t>inter-frequency SSB based measurements without measurement gaps (either legacy measurement gap or NCSG) in active BWP</w:t>
            </w:r>
            <w:r>
              <w:rPr>
                <w:rFonts w:hint="default" w:ascii="Times New Roman" w:hAnsi="Times New Roman" w:eastAsia="PMingLiU" w:cs="Times New Roman"/>
                <w:sz w:val="20"/>
                <w:szCs w:val="20"/>
                <w:lang w:eastAsia="zh-TW"/>
              </w:rPr>
              <w:t xml:space="preserve">, </w:t>
            </w:r>
            <w:r>
              <w:rPr>
                <w:rFonts w:hint="default" w:ascii="Times New Roman" w:hAnsi="Times New Roman" w:cs="Times New Roman"/>
                <w:sz w:val="20"/>
                <w:szCs w:val="20"/>
              </w:rPr>
              <w:t xml:space="preserve">for UE capable of </w:t>
            </w:r>
            <w:r>
              <w:rPr>
                <w:rFonts w:hint="default" w:ascii="Times New Roman" w:hAnsi="Times New Roman" w:cs="Times New Roman"/>
                <w:i/>
                <w:iCs/>
                <w:sz w:val="20"/>
                <w:szCs w:val="20"/>
              </w:rPr>
              <w:t>interFrequencyMeas-NoGap</w:t>
            </w:r>
            <w:r>
              <w:rPr>
                <w:rFonts w:hint="default" w:ascii="Times New Roman" w:hAnsi="Times New Roman" w:cs="Times New Roman"/>
                <w:sz w:val="20"/>
                <w:szCs w:val="20"/>
              </w:rPr>
              <w:t xml:space="preserve"> </w:t>
            </w:r>
            <w:r>
              <w:rPr>
                <w:rFonts w:hint="default" w:ascii="Times New Roman" w:hAnsi="Times New Roman" w:eastAsia="Malgun Gothic" w:cs="Times New Roman"/>
                <w:sz w:val="20"/>
                <w:szCs w:val="20"/>
              </w:rPr>
              <w:t>provided that</w:t>
            </w:r>
          </w:p>
          <w:p w14:paraId="75C541F7">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the UE supports </w:t>
            </w:r>
            <w:r>
              <w:rPr>
                <w:rFonts w:hint="default" w:ascii="Times New Roman" w:hAnsi="Times New Roman" w:cs="Times New Roman"/>
                <w:i/>
                <w:iCs/>
                <w:sz w:val="20"/>
                <w:szCs w:val="20"/>
                <w:lang w:eastAsia="zh-CN"/>
              </w:rPr>
              <w:t>interFrequencyMeas-Nogap-r16</w:t>
            </w:r>
            <w:r>
              <w:rPr>
                <w:rFonts w:hint="default" w:ascii="Times New Roman" w:hAnsi="Times New Roman" w:cs="Times New Roman"/>
                <w:sz w:val="20"/>
                <w:szCs w:val="20"/>
                <w:lang w:eastAsia="zh-CN"/>
              </w:rPr>
              <w:t xml:space="preserve"> [15], and</w:t>
            </w:r>
          </w:p>
          <w:p w14:paraId="6D03A88D">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SSB is completely contained in the active BWP of the UE</w:t>
            </w:r>
            <w:r>
              <w:rPr>
                <w:rFonts w:hint="default" w:ascii="Times New Roman" w:hAnsi="Times New Roman" w:cs="Times New Roman"/>
                <w:sz w:val="20"/>
                <w:szCs w:val="20"/>
                <w:lang w:eastAsia="zh-CN"/>
              </w:rPr>
              <w:t>.</w:t>
            </w:r>
          </w:p>
          <w:p w14:paraId="5ECCCF76">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rPr>
              <w:t>For inter-frequency SSB based measurements without measurement gaps, UE may cause scheduling restriction as specified in clause 9.3.9.3</w:t>
            </w:r>
            <w:r>
              <w:rPr>
                <w:rFonts w:hint="default" w:ascii="Times New Roman" w:hAnsi="Times New Roman" w:cs="Times New Roman"/>
                <w:sz w:val="20"/>
                <w:szCs w:val="20"/>
                <w:lang w:eastAsia="zh-CN"/>
              </w:rPr>
              <w:t>.</w:t>
            </w:r>
          </w:p>
          <w:p w14:paraId="34FB053A">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Note: Non-CA capable UE is not expected to indicate support of </w:t>
            </w:r>
            <w:r>
              <w:rPr>
                <w:rFonts w:hint="default" w:ascii="Times New Roman" w:hAnsi="Times New Roman" w:cs="Times New Roman"/>
                <w:i/>
                <w:iCs/>
                <w:sz w:val="20"/>
                <w:szCs w:val="20"/>
                <w:lang w:eastAsia="zh-CN"/>
              </w:rPr>
              <w:t>interFrequencyMeas-Nogap-r16</w:t>
            </w:r>
            <w:r>
              <w:rPr>
                <w:rFonts w:hint="default" w:ascii="Times New Roman" w:hAnsi="Times New Roman" w:cs="Times New Roman"/>
                <w:sz w:val="20"/>
                <w:szCs w:val="20"/>
                <w:lang w:eastAsia="zh-CN"/>
              </w:rPr>
              <w:t xml:space="preserve"> [15].</w:t>
            </w:r>
          </w:p>
          <w:p w14:paraId="057E48D0">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Besides the conditions listed above, </w:t>
            </w:r>
          </w:p>
          <w:p w14:paraId="0F9BC54B">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for UE supporting</w:t>
            </w:r>
            <w:r>
              <w:rPr>
                <w:rFonts w:hint="default" w:ascii="Times New Roman" w:hAnsi="Times New Roman" w:cs="Times New Roman"/>
                <w:sz w:val="20"/>
                <w:szCs w:val="20"/>
              </w:rPr>
              <w:t xml:space="preserve"> </w:t>
            </w:r>
            <w:r>
              <w:rPr>
                <w:rFonts w:hint="default" w:ascii="Times New Roman" w:hAnsi="Times New Roman" w:cs="Times New Roman"/>
                <w:i/>
                <w:sz w:val="20"/>
                <w:szCs w:val="20"/>
                <w:lang w:eastAsia="zh-CN"/>
              </w:rPr>
              <w:t>nr-NeedForGapNCSG-reporting-r17</w:t>
            </w:r>
            <w:r>
              <w:rPr>
                <w:rFonts w:hint="default" w:ascii="Times New Roman" w:hAnsi="Times New Roman" w:cs="Times New Roman"/>
                <w:sz w:val="20"/>
                <w:szCs w:val="20"/>
                <w:lang w:eastAsia="zh-CN"/>
              </w:rPr>
              <w:t xml:space="preserve"> and indicating </w:t>
            </w:r>
            <w:r>
              <w:rPr>
                <w:rFonts w:hint="default" w:ascii="Times New Roman" w:hAnsi="Times New Roman" w:cs="Times New Roman"/>
                <w:i/>
                <w:iCs/>
                <w:sz w:val="20"/>
                <w:szCs w:val="20"/>
                <w:lang w:eastAsia="zh-CN"/>
              </w:rPr>
              <w:t>NeedForGapNCSG-InfoNR</w:t>
            </w:r>
            <w:r>
              <w:rPr>
                <w:rFonts w:hint="default" w:ascii="Times New Roman" w:hAnsi="Times New Roman" w:cs="Times New Roman"/>
                <w:sz w:val="20"/>
                <w:szCs w:val="20"/>
                <w:lang w:eastAsia="zh-CN"/>
              </w:rPr>
              <w:t xml:space="preserve"> for inter-frequency measurement,</w:t>
            </w:r>
          </w:p>
          <w:p w14:paraId="31122549">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An inter-frequency SSB measurement is defined as measurement without gap if</w:t>
            </w:r>
          </w:p>
          <w:p w14:paraId="1C250B14">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the UE indicates ‘</w:t>
            </w:r>
            <w:r>
              <w:rPr>
                <w:rFonts w:hint="default" w:ascii="Times New Roman" w:hAnsi="Times New Roman" w:cs="Times New Roman"/>
                <w:sz w:val="20"/>
                <w:szCs w:val="20"/>
              </w:rPr>
              <w:t>nogap-noncsg</w:t>
            </w:r>
            <w:r>
              <w:rPr>
                <w:rFonts w:hint="default" w:ascii="Times New Roman" w:hAnsi="Times New Roman" w:cs="Times New Roman"/>
                <w:sz w:val="20"/>
                <w:szCs w:val="20"/>
                <w:lang w:eastAsia="zh-CN"/>
              </w:rPr>
              <w:t xml:space="preserve">’ via </w:t>
            </w:r>
            <w:r>
              <w:rPr>
                <w:rFonts w:hint="default" w:ascii="Times New Roman" w:hAnsi="Times New Roman" w:cs="Times New Roman"/>
                <w:i/>
                <w:iCs/>
                <w:sz w:val="20"/>
                <w:szCs w:val="20"/>
                <w:lang w:eastAsia="zh-CN"/>
              </w:rPr>
              <w:t>NeedForGapNCSG-InfoNR</w:t>
            </w:r>
            <w:r>
              <w:rPr>
                <w:rFonts w:hint="default" w:ascii="Times New Roman" w:hAnsi="Times New Roman" w:cs="Times New Roman"/>
                <w:sz w:val="20"/>
                <w:szCs w:val="20"/>
                <w:lang w:eastAsia="zh-CN"/>
              </w:rPr>
              <w:t xml:space="preserve"> for the inter-frequency measurement, and</w:t>
            </w:r>
          </w:p>
          <w:p w14:paraId="148B75A5">
            <w:pPr>
              <w:pStyle w:val="23"/>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is not completely contained in the </w:t>
            </w:r>
            <w:r>
              <w:rPr>
                <w:rFonts w:hint="default" w:ascii="Times New Roman" w:hAnsi="Times New Roman" w:cs="Times New Roman"/>
                <w:sz w:val="20"/>
                <w:szCs w:val="20"/>
                <w:lang w:eastAsia="zh-CN"/>
              </w:rPr>
              <w:t>active BWP</w:t>
            </w:r>
            <w:r>
              <w:rPr>
                <w:rFonts w:hint="default" w:ascii="Times New Roman" w:hAnsi="Times New Roman" w:cs="Times New Roman"/>
                <w:sz w:val="20"/>
                <w:szCs w:val="20"/>
              </w:rPr>
              <w:t xml:space="preserve"> of the UE</w:t>
            </w:r>
          </w:p>
          <w:p w14:paraId="7256F520">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For </w:t>
            </w:r>
            <w:r>
              <w:rPr>
                <w:rFonts w:hint="default" w:ascii="Times New Roman" w:hAnsi="Times New Roman" w:cs="Times New Roman"/>
                <w:sz w:val="20"/>
                <w:szCs w:val="20"/>
                <w:lang w:eastAsia="zh-CN"/>
              </w:rPr>
              <w:t>inter-frequency SSB based measurements without MG and NCSG</w:t>
            </w:r>
            <w:r>
              <w:rPr>
                <w:rFonts w:hint="default" w:ascii="Times New Roman" w:hAnsi="Times New Roman" w:cs="Times New Roman"/>
                <w:sz w:val="20"/>
                <w:szCs w:val="20"/>
              </w:rPr>
              <w:t>, UE may cause scheduling restriction as specified in clause 9.3.9.4.</w:t>
            </w:r>
          </w:p>
          <w:p w14:paraId="62DE8D88">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An inter-frequency SSB measurement is defined as measurement with NCSG if </w:t>
            </w:r>
          </w:p>
          <w:p w14:paraId="21A0A6AC">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the UE indicates ‘ncsg’ via </w:t>
            </w:r>
            <w:r>
              <w:rPr>
                <w:rFonts w:hint="default" w:ascii="Times New Roman" w:hAnsi="Times New Roman" w:cs="Times New Roman"/>
                <w:i/>
                <w:iCs/>
                <w:sz w:val="20"/>
                <w:szCs w:val="20"/>
                <w:lang w:eastAsia="zh-CN"/>
              </w:rPr>
              <w:t>NeedForGapNCSG-InfoNR</w:t>
            </w:r>
            <w:r>
              <w:rPr>
                <w:rFonts w:hint="default" w:ascii="Times New Roman" w:hAnsi="Times New Roman" w:cs="Times New Roman"/>
                <w:sz w:val="20"/>
                <w:szCs w:val="20"/>
                <w:lang w:eastAsia="zh-CN"/>
              </w:rPr>
              <w:t xml:space="preserve"> for the inter-frequency measurement, and</w:t>
            </w:r>
          </w:p>
          <w:p w14:paraId="718C3962">
            <w:pPr>
              <w:pStyle w:val="23"/>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is not completely contained in the </w:t>
            </w:r>
            <w:r>
              <w:rPr>
                <w:rFonts w:hint="default" w:ascii="Times New Roman" w:hAnsi="Times New Roman" w:cs="Times New Roman"/>
                <w:sz w:val="20"/>
                <w:szCs w:val="20"/>
                <w:lang w:eastAsia="zh-CN"/>
              </w:rPr>
              <w:t>active BWP</w:t>
            </w:r>
            <w:r>
              <w:rPr>
                <w:rFonts w:hint="default" w:ascii="Times New Roman" w:hAnsi="Times New Roman" w:cs="Times New Roman"/>
                <w:sz w:val="20"/>
                <w:szCs w:val="20"/>
              </w:rPr>
              <w:t xml:space="preserve"> of the UE</w:t>
            </w:r>
          </w:p>
          <w:p w14:paraId="48BB0A91">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For inter-frequency SSB based measurements with NCSG, UE may cause scheduling restriction as specified in clause 9.3.10.3.</w:t>
            </w:r>
          </w:p>
          <w:p w14:paraId="5593DD52">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An inter-frequency SSB measurement is defined as measurement with gap if</w:t>
            </w:r>
          </w:p>
          <w:p w14:paraId="42E7E64A">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the UE indicates ‘gap’ via </w:t>
            </w:r>
            <w:r>
              <w:rPr>
                <w:rFonts w:hint="default" w:ascii="Times New Roman" w:hAnsi="Times New Roman" w:cs="Times New Roman"/>
                <w:i/>
                <w:iCs/>
                <w:sz w:val="20"/>
                <w:szCs w:val="20"/>
                <w:lang w:eastAsia="zh-CN"/>
              </w:rPr>
              <w:t>NeedForGapNCSG-InfoNR</w:t>
            </w:r>
            <w:r>
              <w:rPr>
                <w:rFonts w:hint="default" w:ascii="Times New Roman" w:hAnsi="Times New Roman" w:cs="Times New Roman"/>
                <w:sz w:val="20"/>
                <w:szCs w:val="20"/>
                <w:lang w:eastAsia="zh-CN"/>
              </w:rPr>
              <w:t xml:space="preserve"> for the inter-frequency measurement, and</w:t>
            </w:r>
          </w:p>
          <w:p w14:paraId="1C702501">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is not completely contained in the </w:t>
            </w:r>
            <w:r>
              <w:rPr>
                <w:rFonts w:hint="default" w:ascii="Times New Roman" w:hAnsi="Times New Roman" w:cs="Times New Roman"/>
                <w:sz w:val="20"/>
                <w:szCs w:val="20"/>
                <w:lang w:eastAsia="zh-CN"/>
              </w:rPr>
              <w:t>active BWP</w:t>
            </w:r>
            <w:r>
              <w:rPr>
                <w:rFonts w:hint="default" w:ascii="Times New Roman" w:hAnsi="Times New Roman" w:cs="Times New Roman"/>
                <w:sz w:val="20"/>
                <w:szCs w:val="20"/>
              </w:rPr>
              <w:t xml:space="preserve"> of the UE</w:t>
            </w:r>
          </w:p>
          <w:p w14:paraId="59D7A971">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for UE supporting </w:t>
            </w:r>
            <w:r>
              <w:rPr>
                <w:rFonts w:hint="default" w:ascii="Times New Roman" w:hAnsi="Times New Roman" w:cs="Times New Roman"/>
                <w:i/>
                <w:sz w:val="20"/>
                <w:szCs w:val="20"/>
                <w:lang w:eastAsia="zh-CN"/>
              </w:rPr>
              <w:t>nr-NeedForInterruptionReport-r18</w:t>
            </w:r>
            <w:r>
              <w:rPr>
                <w:rFonts w:hint="default" w:ascii="Times New Roman" w:hAnsi="Times New Roman" w:cs="Times New Roman"/>
                <w:sz w:val="20"/>
                <w:szCs w:val="20"/>
                <w:lang w:eastAsia="zh-CN"/>
              </w:rPr>
              <w:t xml:space="preserve"> and indicating</w:t>
            </w:r>
            <w:r>
              <w:rPr>
                <w:rFonts w:hint="default" w:ascii="Times New Roman" w:hAnsi="Times New Roman" w:cs="Times New Roman"/>
                <w:sz w:val="20"/>
                <w:szCs w:val="20"/>
              </w:rPr>
              <w:t xml:space="preserve"> </w:t>
            </w:r>
            <w:r>
              <w:rPr>
                <w:rFonts w:hint="default" w:ascii="Times New Roman" w:hAnsi="Times New Roman" w:cs="Times New Roman"/>
                <w:i/>
                <w:sz w:val="20"/>
                <w:szCs w:val="20"/>
                <w:lang w:eastAsia="zh-CN"/>
              </w:rPr>
              <w:t>NeedForInterruptionInfoNR</w:t>
            </w:r>
            <w:r>
              <w:rPr>
                <w:rFonts w:hint="default" w:ascii="Times New Roman" w:hAnsi="Times New Roman" w:cs="Times New Roman"/>
                <w:sz w:val="20"/>
                <w:szCs w:val="20"/>
                <w:lang w:eastAsia="zh-CN"/>
              </w:rPr>
              <w:t xml:space="preserve"> for inter-frequency measurement, </w:t>
            </w:r>
          </w:p>
          <w:p w14:paraId="3A7847D7">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An inter-frequency SSB measurement is defined as measurement without gap if</w:t>
            </w:r>
          </w:p>
          <w:p w14:paraId="01F88431">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eastAsia="zh-CN"/>
              </w:rPr>
              <w:t xml:space="preserve"> and the UE indicates ‘</w:t>
            </w:r>
            <w:r>
              <w:rPr>
                <w:rFonts w:hint="default" w:ascii="Times New Roman" w:hAnsi="Times New Roman" w:cs="Times New Roman"/>
                <w:i/>
                <w:iCs/>
                <w:sz w:val="20"/>
                <w:szCs w:val="20"/>
              </w:rPr>
              <w:t>no-gap-no-interruption</w:t>
            </w:r>
            <w:r>
              <w:rPr>
                <w:rFonts w:hint="default" w:ascii="Times New Roman" w:hAnsi="Times New Roman" w:cs="Times New Roman"/>
                <w:sz w:val="20"/>
                <w:szCs w:val="20"/>
                <w:lang w:eastAsia="zh-CN"/>
              </w:rPr>
              <w:t xml:space="preserve">’ or </w:t>
            </w:r>
            <w:r>
              <w:rPr>
                <w:rFonts w:hint="default" w:ascii="Times New Roman" w:hAnsi="Times New Roman" w:cs="Times New Roman"/>
                <w:i/>
                <w:iCs/>
                <w:sz w:val="20"/>
                <w:szCs w:val="20"/>
                <w:lang w:eastAsia="zh-CN"/>
              </w:rPr>
              <w:t>no-gap-with-interruption</w:t>
            </w:r>
            <w:r>
              <w:rPr>
                <w:rFonts w:hint="default" w:ascii="Times New Roman" w:hAnsi="Times New Roman" w:cs="Times New Roman"/>
                <w:sz w:val="20"/>
                <w:szCs w:val="20"/>
                <w:lang w:eastAsia="zh-CN"/>
              </w:rPr>
              <w:t xml:space="preserve"> via </w:t>
            </w:r>
            <w:r>
              <w:rPr>
                <w:rFonts w:hint="default" w:ascii="Times New Roman" w:hAnsi="Times New Roman" w:cs="Times New Roman"/>
                <w:i/>
                <w:iCs/>
                <w:sz w:val="20"/>
                <w:szCs w:val="20"/>
                <w:lang w:eastAsia="zh-CN"/>
              </w:rPr>
              <w:t>NeedForInterruptionInfoNR-r18</w:t>
            </w:r>
            <w:r>
              <w:rPr>
                <w:rFonts w:hint="default" w:ascii="Times New Roman" w:hAnsi="Times New Roman" w:cs="Times New Roman"/>
                <w:sz w:val="20"/>
                <w:szCs w:val="20"/>
                <w:lang w:eastAsia="zh-CN"/>
              </w:rPr>
              <w:t xml:space="preserve"> for the inter-frequency measurement, and</w:t>
            </w:r>
          </w:p>
          <w:p w14:paraId="0309B036">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the SSB is not completely contained in the active BWP of the UE</w:t>
            </w:r>
          </w:p>
          <w:p w14:paraId="139C698D">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The interruption requirement during inter-frequency measurement without gap is defined in clause 8.2.2.2.19 when UE indicate </w:t>
            </w:r>
            <w:r>
              <w:rPr>
                <w:rFonts w:hint="default" w:ascii="Times New Roman" w:hAnsi="Times New Roman" w:cs="Times New Roman"/>
                <w:i/>
                <w:iCs/>
                <w:sz w:val="20"/>
                <w:szCs w:val="20"/>
                <w:lang w:eastAsia="zh-CN"/>
              </w:rPr>
              <w:t>no-gap-with-interruption</w:t>
            </w:r>
            <w:r>
              <w:rPr>
                <w:rFonts w:hint="default" w:ascii="Times New Roman" w:hAnsi="Times New Roman" w:cs="Times New Roman"/>
                <w:sz w:val="20"/>
                <w:szCs w:val="20"/>
                <w:lang w:eastAsia="zh-CN"/>
              </w:rPr>
              <w:t>.</w:t>
            </w:r>
          </w:p>
          <w:p w14:paraId="1BC90D6C">
            <w:pPr>
              <w:pStyle w:val="23"/>
              <w:ind w:firstLine="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 interruption is allowed due to inter-frequency measurement without gap when following conditions are met:</w:t>
            </w:r>
          </w:p>
          <w:p w14:paraId="38440829">
            <w:pPr>
              <w:pStyle w:val="3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the SSB is completely contained in the active BWP of the UE, or</w:t>
            </w:r>
          </w:p>
          <w:p w14:paraId="5A30E4A4">
            <w:pPr>
              <w:pStyle w:val="3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UE indicates “no-gap-no-interruption”, or</w:t>
            </w:r>
          </w:p>
          <w:p w14:paraId="3D11A130">
            <w:pPr>
              <w:pStyle w:val="3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UE indicates “</w:t>
            </w:r>
            <w:r>
              <w:rPr>
                <w:rFonts w:hint="default" w:ascii="Times New Roman" w:hAnsi="Times New Roman" w:cs="Times New Roman"/>
                <w:i/>
                <w:iCs/>
                <w:sz w:val="20"/>
                <w:szCs w:val="20"/>
                <w:lang w:eastAsia="zh-CN"/>
              </w:rPr>
              <w:t>no-gap-with-interruption</w:t>
            </w:r>
            <w:r>
              <w:rPr>
                <w:rFonts w:hint="default" w:ascii="Times New Roman" w:hAnsi="Times New Roman" w:cs="Times New Roman"/>
                <w:sz w:val="20"/>
                <w:szCs w:val="20"/>
                <w:lang w:eastAsia="zh-CN"/>
              </w:rPr>
              <w:t xml:space="preserve">” but inter-frequency SMTC is partially or fully overlapping with measurement gaps, </w:t>
            </w:r>
          </w:p>
          <w:p w14:paraId="2FEEB1CA">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During inter-frequency SSB based measurements without gap, UE may cause scheduling restriction as specified in clause 9.3.9.4.</w:t>
            </w:r>
          </w:p>
          <w:p w14:paraId="3386876C">
            <w:pPr>
              <w:pStyle w:val="22"/>
              <w:ind w:left="0" w:firstLine="28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An inter-frequency SSB measurement is defined as measurement with gap if</w:t>
            </w:r>
          </w:p>
          <w:p w14:paraId="71E8457D">
            <w:pPr>
              <w:pStyle w:val="23"/>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the UE indicates ‘gap’ via </w:t>
            </w:r>
            <w:r>
              <w:rPr>
                <w:rFonts w:hint="default" w:ascii="Times New Roman" w:hAnsi="Times New Roman" w:cs="Times New Roman"/>
                <w:i/>
                <w:iCs/>
                <w:sz w:val="20"/>
                <w:szCs w:val="20"/>
                <w:lang w:eastAsia="zh-CN"/>
              </w:rPr>
              <w:t xml:space="preserve">NeedForGap-InfoNR </w:t>
            </w:r>
            <w:r>
              <w:rPr>
                <w:rFonts w:hint="default" w:ascii="Times New Roman" w:hAnsi="Times New Roman" w:cs="Times New Roman"/>
                <w:sz w:val="20"/>
                <w:szCs w:val="20"/>
                <w:lang w:eastAsia="zh-CN"/>
              </w:rPr>
              <w:t>for the inter-frequency measurement.</w:t>
            </w:r>
          </w:p>
        </w:tc>
      </w:tr>
    </w:tbl>
    <w:p w14:paraId="5761A3FF">
      <w:pPr>
        <w:spacing w:after="180" w:line="240" w:lineRule="exact"/>
        <w:rPr>
          <w:rFonts w:hint="eastAsia" w:ascii="Times New Roman" w:hAnsi="Times New Roman" w:eastAsia="等线"/>
          <w:bCs/>
          <w:iCs/>
          <w:sz w:val="20"/>
          <w:szCs w:val="20"/>
          <w:lang w:val="en-US" w:eastAsia="zh-CN"/>
        </w:rPr>
      </w:pPr>
    </w:p>
    <w:p w14:paraId="0B3F601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to consider the use case of AI/ML based frequency domain measurement prediction for non-co-located scenario., including L3-beam level and L3-cell level.</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RAN4 driven use cases for AI/ML use cases for RRM</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7E696A62">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1: AI/ML based spatial domain UE RX beam sweeping reduction is not studied in 5G-A.</w:t>
      </w:r>
    </w:p>
    <w:p w14:paraId="665A6CDA">
      <w:pPr>
        <w:numPr>
          <w:ilvl w:val="0"/>
          <w:numId w:val="8"/>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Beam prediction in 5G-A focus on DL Tx beam prediction</w:t>
      </w:r>
    </w:p>
    <w:p w14:paraId="5229B03E">
      <w:pPr>
        <w:numPr>
          <w:ilvl w:val="0"/>
          <w:numId w:val="9"/>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The discussion on RX beam knowledge in 5G-A is about whether RX beam corresponding to the predicted TX beam is known, and the discussion is about L1 level beam, the main spec impact is TCI state known condition</w:t>
      </w:r>
    </w:p>
    <w:p w14:paraId="51A6BC3A">
      <w:pPr>
        <w:numPr>
          <w:ilvl w:val="0"/>
          <w:numId w:val="8"/>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AI/ML for mobility in 5G-A, for UE sided model, spatial domain prediction is not supported</w:t>
      </w:r>
    </w:p>
    <w:p w14:paraId="5D59B6AD">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to consider the use case of AI/ML based spatial domain UE RX beam sweeping reduction</w:t>
      </w:r>
      <w:r>
        <w:rPr>
          <w:rFonts w:hint="eastAsia" w:ascii="Times New Roman" w:hAnsi="Times New Roman" w:eastAsia="等线" w:cs="Times New Roman"/>
          <w:b/>
          <w:bCs w:val="0"/>
          <w:i/>
          <w:iCs w:val="0"/>
          <w:sz w:val="20"/>
          <w:szCs w:val="20"/>
          <w:vertAlign w:val="baseline"/>
          <w:lang w:val="en-US" w:eastAsia="zh-CN"/>
        </w:rPr>
        <w:t>.</w:t>
      </w:r>
      <w:r>
        <w:rPr>
          <w:rFonts w:hint="eastAsia" w:ascii="Times New Roman" w:hAnsi="Times New Roman" w:eastAsia="等线"/>
          <w:b/>
          <w:bCs w:val="0"/>
          <w:i/>
          <w:iCs w:val="0"/>
          <w:sz w:val="20"/>
          <w:szCs w:val="20"/>
          <w:lang w:val="en-US" w:eastAsia="zh-CN"/>
        </w:rPr>
        <w:t xml:space="preserve">  </w:t>
      </w:r>
    </w:p>
    <w:p w14:paraId="3F45EDCB">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Proposal 2: it is proposed to consider the use case of AI/ML based frequency domain measurement prediction for non-co-located scenario., including L3-beam level and L3-cell level.</w:t>
      </w: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7A1AB333">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518B108C">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23AEC8C">
      <w:pPr>
        <w:pStyle w:val="20"/>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RP-213599, New SI: Study on Artificial Intelligence (AI)/Machine Learning (ML) for NR Air Interface</w:t>
      </w:r>
    </w:p>
    <w:p w14:paraId="59BF7F80">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RP-243244</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Artificial Intelligence (AI)/Machine Learning (ML) for NR Air Interface</w:t>
      </w:r>
    </w:p>
    <w:p w14:paraId="00D00E3F">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RP-243245</w:t>
      </w:r>
      <w:r>
        <w:rPr>
          <w:rFonts w:hint="eastAsia" w:ascii="Times" w:hAnsi="Times" w:eastAsia="宋体"/>
          <w:b w:val="0"/>
          <w:sz w:val="20"/>
          <w:lang w:val="en-US" w:eastAsia="zh-CN"/>
        </w:rPr>
        <w:t>, New SID: Study on Artificial Intelligence (AI)/Machine Learning (ML) for NR air interface Phase 2</w:t>
      </w:r>
    </w:p>
    <w:p w14:paraId="7566D56F">
      <w:pPr>
        <w:pStyle w:val="20"/>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51870</w:t>
      </w:r>
      <w:r>
        <w:rPr>
          <w:rFonts w:ascii="Times" w:hAnsi="Times" w:eastAsia="宋体"/>
          <w:b w:val="0"/>
          <w:sz w:val="20"/>
          <w:lang w:eastAsia="zh-CN"/>
        </w:rPr>
        <w:t xml:space="preserve">, </w:t>
      </w:r>
      <w:r>
        <w:rPr>
          <w:rFonts w:hint="eastAsia" w:ascii="Times" w:hAnsi="Times" w:eastAsia="宋体"/>
          <w:b w:val="0"/>
          <w:sz w:val="20"/>
          <w:lang w:eastAsia="zh-CN"/>
        </w:rPr>
        <w:t>New WI: Artificial Intelligence (AI)/Machine Learning (ML) for NR air interface enhancements</w:t>
      </w:r>
    </w:p>
    <w:p w14:paraId="6D688458">
      <w:pPr>
        <w:pStyle w:val="20"/>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5CF609AF">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 Artificial Intelligence (AI)/Machine Learning (ML) for mobility in NR</w:t>
      </w:r>
    </w:p>
    <w:p w14:paraId="27144A4D">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RP-252942</w:t>
      </w:r>
      <w:r>
        <w:rPr>
          <w:rFonts w:hint="eastAsia" w:ascii="Times" w:hAnsi="Times" w:eastAsia="宋体"/>
          <w:b w:val="0"/>
          <w:sz w:val="20"/>
          <w:lang w:val="en-US" w:eastAsia="zh-CN"/>
        </w:rPr>
        <w:t>, New WID: UE RF enhancements for NR FR1, Phase 5</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v4.2.0">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89701"/>
    <w:multiLevelType w:val="singleLevel"/>
    <w:tmpl w:val="80F89701"/>
    <w:lvl w:ilvl="0" w:tentative="0">
      <w:start w:val="1"/>
      <w:numFmt w:val="bullet"/>
      <w:lvlText w:val=""/>
      <w:lvlJc w:val="left"/>
      <w:pPr>
        <w:ind w:left="420" w:hanging="420"/>
      </w:pPr>
      <w:rPr>
        <w:rFonts w:hint="default" w:ascii="Wingdings" w:hAnsi="Wingdings"/>
      </w:rPr>
    </w:lvl>
  </w:abstractNum>
  <w:abstractNum w:abstractNumId="1">
    <w:nsid w:val="E9A18985"/>
    <w:multiLevelType w:val="singleLevel"/>
    <w:tmpl w:val="E9A18985"/>
    <w:lvl w:ilvl="0" w:tentative="0">
      <w:start w:val="1"/>
      <w:numFmt w:val="bullet"/>
      <w:lvlText w:val=""/>
      <w:lvlJc w:val="left"/>
      <w:pPr>
        <w:tabs>
          <w:tab w:val="left" w:pos="420"/>
        </w:tabs>
        <w:ind w:left="840" w:hanging="420"/>
      </w:pPr>
      <w:rPr>
        <w:rFonts w:hint="default" w:ascii="Wingdings" w:hAnsi="Wingdings"/>
      </w:rPr>
    </w:lvl>
  </w:abstractNum>
  <w:abstractNum w:abstractNumId="2">
    <w:nsid w:val="F6871401"/>
    <w:multiLevelType w:val="singleLevel"/>
    <w:tmpl w:val="F6871401"/>
    <w:lvl w:ilvl="0" w:tentative="0">
      <w:start w:val="1"/>
      <w:numFmt w:val="decimal"/>
      <w:suff w:val="space"/>
      <w:lvlText w:val="[%1]"/>
      <w:lvlJc w:val="left"/>
    </w:lvl>
  </w:abstractNum>
  <w:abstractNum w:abstractNumId="3">
    <w:nsid w:val="F914CC2B"/>
    <w:multiLevelType w:val="multilevel"/>
    <w:tmpl w:val="F914CC2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7">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8">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5"/>
  </w:num>
  <w:num w:numId="3">
    <w:abstractNumId w:val="8"/>
  </w:num>
  <w:num w:numId="4">
    <w:abstractNumId w:val="4"/>
  </w:num>
  <w:num w:numId="5">
    <w:abstractNumId w:val="6"/>
  </w:num>
  <w:num w:numId="6">
    <w:abstractNumId w:val="7"/>
  </w:num>
  <w:num w:numId="7">
    <w:abstractNumId w:val="0"/>
  </w:num>
  <w:num w:numId="8">
    <w:abstractNumId w:val="3"/>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C030A6"/>
    <w:rsid w:val="05173FCA"/>
    <w:rsid w:val="053428A8"/>
    <w:rsid w:val="05CE7F14"/>
    <w:rsid w:val="05E427B2"/>
    <w:rsid w:val="06254DA5"/>
    <w:rsid w:val="06E076D6"/>
    <w:rsid w:val="08B50B7B"/>
    <w:rsid w:val="09405F3B"/>
    <w:rsid w:val="09B01C47"/>
    <w:rsid w:val="0A573618"/>
    <w:rsid w:val="0ACF434F"/>
    <w:rsid w:val="0B493E43"/>
    <w:rsid w:val="0B943C03"/>
    <w:rsid w:val="0DE85960"/>
    <w:rsid w:val="0E77636A"/>
    <w:rsid w:val="0EB208AB"/>
    <w:rsid w:val="0F3E4653"/>
    <w:rsid w:val="0F486821"/>
    <w:rsid w:val="0F4C27CC"/>
    <w:rsid w:val="0FA30B04"/>
    <w:rsid w:val="0FD10D03"/>
    <w:rsid w:val="0FE50EF5"/>
    <w:rsid w:val="105F7F23"/>
    <w:rsid w:val="111346BF"/>
    <w:rsid w:val="11A46535"/>
    <w:rsid w:val="127D6382"/>
    <w:rsid w:val="12AA5484"/>
    <w:rsid w:val="13AD1DFD"/>
    <w:rsid w:val="13B576E5"/>
    <w:rsid w:val="142E3B2B"/>
    <w:rsid w:val="1444244B"/>
    <w:rsid w:val="14A26B14"/>
    <w:rsid w:val="14A31207"/>
    <w:rsid w:val="14A423A8"/>
    <w:rsid w:val="15273D43"/>
    <w:rsid w:val="15685863"/>
    <w:rsid w:val="159403F8"/>
    <w:rsid w:val="15C5068C"/>
    <w:rsid w:val="17ED0CBB"/>
    <w:rsid w:val="18B21538"/>
    <w:rsid w:val="19150AB5"/>
    <w:rsid w:val="198619D0"/>
    <w:rsid w:val="1A720A97"/>
    <w:rsid w:val="1AB30271"/>
    <w:rsid w:val="1C812CD0"/>
    <w:rsid w:val="1C970BAC"/>
    <w:rsid w:val="1CC96948"/>
    <w:rsid w:val="20A3117D"/>
    <w:rsid w:val="217246D2"/>
    <w:rsid w:val="219E0135"/>
    <w:rsid w:val="21CF0237"/>
    <w:rsid w:val="22320AC2"/>
    <w:rsid w:val="23D51059"/>
    <w:rsid w:val="23FC482E"/>
    <w:rsid w:val="24880AFD"/>
    <w:rsid w:val="25C11700"/>
    <w:rsid w:val="279B2689"/>
    <w:rsid w:val="27CE6E7A"/>
    <w:rsid w:val="28024436"/>
    <w:rsid w:val="29552CDF"/>
    <w:rsid w:val="2C401128"/>
    <w:rsid w:val="2CC24862"/>
    <w:rsid w:val="2E9742CA"/>
    <w:rsid w:val="2F3D15B9"/>
    <w:rsid w:val="2F661152"/>
    <w:rsid w:val="31890F43"/>
    <w:rsid w:val="329D3696"/>
    <w:rsid w:val="33F73CD2"/>
    <w:rsid w:val="342D50A6"/>
    <w:rsid w:val="34453CA2"/>
    <w:rsid w:val="35D22FBC"/>
    <w:rsid w:val="393E203F"/>
    <w:rsid w:val="39C97388"/>
    <w:rsid w:val="39FB0130"/>
    <w:rsid w:val="3B812128"/>
    <w:rsid w:val="3BFF4ED4"/>
    <w:rsid w:val="3DD71886"/>
    <w:rsid w:val="3DEF01B7"/>
    <w:rsid w:val="3E0F6AB1"/>
    <w:rsid w:val="3E546750"/>
    <w:rsid w:val="3E9E1A93"/>
    <w:rsid w:val="3F01279C"/>
    <w:rsid w:val="404C2FC6"/>
    <w:rsid w:val="42750B50"/>
    <w:rsid w:val="433F11B1"/>
    <w:rsid w:val="44133DC9"/>
    <w:rsid w:val="44715EBB"/>
    <w:rsid w:val="47617B01"/>
    <w:rsid w:val="47E11C0A"/>
    <w:rsid w:val="480239B3"/>
    <w:rsid w:val="4BCA4A52"/>
    <w:rsid w:val="4BE64593"/>
    <w:rsid w:val="4D3D03C8"/>
    <w:rsid w:val="4DC1731C"/>
    <w:rsid w:val="4E1736E9"/>
    <w:rsid w:val="4E5A52AA"/>
    <w:rsid w:val="4ED25E5C"/>
    <w:rsid w:val="537C68B8"/>
    <w:rsid w:val="54CA68AA"/>
    <w:rsid w:val="5516017D"/>
    <w:rsid w:val="593772D0"/>
    <w:rsid w:val="59587923"/>
    <w:rsid w:val="5D0D2286"/>
    <w:rsid w:val="5DB055F5"/>
    <w:rsid w:val="5DC078BC"/>
    <w:rsid w:val="5DCC0D69"/>
    <w:rsid w:val="608B3A19"/>
    <w:rsid w:val="61554B37"/>
    <w:rsid w:val="627A171F"/>
    <w:rsid w:val="62BA6389"/>
    <w:rsid w:val="63860958"/>
    <w:rsid w:val="63AA2F5C"/>
    <w:rsid w:val="64D4424F"/>
    <w:rsid w:val="65991FE6"/>
    <w:rsid w:val="65E96850"/>
    <w:rsid w:val="662A4866"/>
    <w:rsid w:val="669D071C"/>
    <w:rsid w:val="67010C05"/>
    <w:rsid w:val="6701538B"/>
    <w:rsid w:val="68B305D5"/>
    <w:rsid w:val="68B74A5D"/>
    <w:rsid w:val="693443CF"/>
    <w:rsid w:val="6A356F1A"/>
    <w:rsid w:val="6AC458C1"/>
    <w:rsid w:val="6B380692"/>
    <w:rsid w:val="6C8E3A48"/>
    <w:rsid w:val="6D205895"/>
    <w:rsid w:val="6E54240F"/>
    <w:rsid w:val="6ECD18E4"/>
    <w:rsid w:val="6F3538B4"/>
    <w:rsid w:val="6F984846"/>
    <w:rsid w:val="715440AF"/>
    <w:rsid w:val="71EC41F4"/>
    <w:rsid w:val="721B1B84"/>
    <w:rsid w:val="724D5513"/>
    <w:rsid w:val="739A5EFA"/>
    <w:rsid w:val="753E3654"/>
    <w:rsid w:val="75776CC4"/>
    <w:rsid w:val="75886832"/>
    <w:rsid w:val="77D070AC"/>
    <w:rsid w:val="77D829EF"/>
    <w:rsid w:val="78CB296A"/>
    <w:rsid w:val="7943122B"/>
    <w:rsid w:val="79CD59E4"/>
    <w:rsid w:val="79D9262A"/>
    <w:rsid w:val="7A4603DC"/>
    <w:rsid w:val="7AB15C57"/>
    <w:rsid w:val="7B110F3C"/>
    <w:rsid w:val="7BD9715F"/>
    <w:rsid w:val="7C3F4164"/>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4</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Jingjing_CMCC</cp:lastModifiedBy>
  <dcterms:modified xsi:type="dcterms:W3CDTF">2026-01-30T06:14:51Z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